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4C4" w:rsidRPr="00AD4F05" w:rsidRDefault="006544C4" w:rsidP="00786D0F">
      <w:pPr>
        <w:jc w:val="center"/>
        <w:rPr>
          <w:lang w:val="fr-FR"/>
        </w:rPr>
      </w:pPr>
      <w:bookmarkStart w:id="0" w:name="_GoBack"/>
      <w:bookmarkEnd w:id="0"/>
    </w:p>
    <w:p w:rsidR="006544C4" w:rsidRPr="00AD4F05" w:rsidRDefault="006544C4" w:rsidP="00786D0F">
      <w:pPr>
        <w:jc w:val="center"/>
        <w:rPr>
          <w:lang w:val="fr-FR"/>
        </w:rPr>
      </w:pPr>
    </w:p>
    <w:p w:rsidR="006544C4" w:rsidRPr="00AD4F05" w:rsidRDefault="00786D0F" w:rsidP="00786D0F">
      <w:pPr>
        <w:pStyle w:val="DecHTitle"/>
        <w:rPr>
          <w:lang w:val="fr-FR"/>
        </w:rPr>
      </w:pPr>
      <w:r>
        <w:rPr>
          <w:szCs w:val="24"/>
          <w:lang w:val="fr-FR"/>
        </w:rPr>
        <w:t>PREMIÈRE SECTION</w:t>
      </w:r>
    </w:p>
    <w:p w:rsidR="006544C4" w:rsidRPr="00AD4F05" w:rsidRDefault="006544C4" w:rsidP="00786D0F">
      <w:pPr>
        <w:pStyle w:val="DecHTitle"/>
        <w:rPr>
          <w:caps/>
          <w:sz w:val="32"/>
          <w:lang w:val="fr-FR"/>
        </w:rPr>
      </w:pPr>
      <w:r w:rsidRPr="00AD4F05">
        <w:rPr>
          <w:lang w:val="fr-FR"/>
        </w:rPr>
        <w:t>DÉCISION</w:t>
      </w:r>
    </w:p>
    <w:p w:rsidR="006544C4" w:rsidRPr="00AD4F05" w:rsidRDefault="00786D0F" w:rsidP="00786D0F">
      <w:pPr>
        <w:pStyle w:val="ECHRTitleCentre2"/>
        <w:rPr>
          <w:lang w:val="fr-FR"/>
        </w:rPr>
      </w:pPr>
      <w:r w:rsidRPr="00AD4F05">
        <w:rPr>
          <w:lang w:val="fr-FR"/>
        </w:rPr>
        <w:t>Requête n</w:t>
      </w:r>
      <w:r w:rsidRPr="00AD4F05">
        <w:rPr>
          <w:vertAlign w:val="superscript"/>
          <w:lang w:val="fr-FR"/>
        </w:rPr>
        <w:t>o</w:t>
      </w:r>
      <w:r w:rsidR="006544C4" w:rsidRPr="00AD4F05">
        <w:rPr>
          <w:lang w:val="fr-FR"/>
        </w:rPr>
        <w:t xml:space="preserve"> </w:t>
      </w:r>
      <w:r>
        <w:rPr>
          <w:lang w:val="fr-FR"/>
        </w:rPr>
        <w:t>34376/13</w:t>
      </w:r>
      <w:r w:rsidR="006544C4" w:rsidRPr="00AD4F05">
        <w:rPr>
          <w:lang w:val="fr-FR"/>
        </w:rPr>
        <w:br/>
      </w:r>
      <w:r>
        <w:rPr>
          <w:lang w:val="fr-FR"/>
        </w:rPr>
        <w:t>Luigi</w:t>
      </w:r>
      <w:r w:rsidRPr="00AD4F05">
        <w:rPr>
          <w:lang w:val="fr-FR"/>
        </w:rPr>
        <w:t xml:space="preserve"> </w:t>
      </w:r>
      <w:r>
        <w:rPr>
          <w:lang w:val="fr-FR"/>
        </w:rPr>
        <w:t>MONACO</w:t>
      </w:r>
      <w:r w:rsidRPr="00AD4F05">
        <w:rPr>
          <w:lang w:val="fr-FR"/>
        </w:rPr>
        <w:br/>
      </w:r>
      <w:r w:rsidR="006544C4" w:rsidRPr="00AD4F05">
        <w:rPr>
          <w:lang w:val="fr-FR"/>
        </w:rPr>
        <w:t xml:space="preserve">contre </w:t>
      </w:r>
      <w:r w:rsidRPr="00AD4F05">
        <w:rPr>
          <w:lang w:val="fr-FR"/>
        </w:rPr>
        <w:t>l</w:t>
      </w:r>
      <w:r w:rsidR="00B42F86">
        <w:rPr>
          <w:lang w:val="fr-FR"/>
        </w:rPr>
        <w:t>’</w:t>
      </w:r>
      <w:r>
        <w:rPr>
          <w:lang w:val="fr-FR"/>
        </w:rPr>
        <w:t>Italie</w:t>
      </w:r>
    </w:p>
    <w:p w:rsidR="00786D0F" w:rsidRPr="00C01637" w:rsidRDefault="00786D0F" w:rsidP="00786D0F">
      <w:pPr>
        <w:pStyle w:val="ECHRPara"/>
        <w:rPr>
          <w:lang w:val="fr-FR"/>
        </w:rPr>
      </w:pPr>
      <w:r w:rsidRPr="00C01637">
        <w:rPr>
          <w:lang w:val="fr-FR"/>
        </w:rPr>
        <w:t>La Cour européenne des droits de l</w:t>
      </w:r>
      <w:r w:rsidR="00B42F86">
        <w:rPr>
          <w:lang w:val="fr-FR"/>
        </w:rPr>
        <w:t>’</w:t>
      </w:r>
      <w:r w:rsidRPr="00C01637">
        <w:rPr>
          <w:lang w:val="fr-FR"/>
        </w:rPr>
        <w:t xml:space="preserve">homme (première section), siégeant le </w:t>
      </w:r>
      <w:r>
        <w:rPr>
          <w:lang w:val="fr-FR"/>
        </w:rPr>
        <w:t xml:space="preserve">8 décembre 2015 </w:t>
      </w:r>
      <w:r w:rsidRPr="00C01637">
        <w:rPr>
          <w:lang w:val="fr-FR"/>
        </w:rPr>
        <w:t>en une Chambre composée de :</w:t>
      </w:r>
    </w:p>
    <w:p w:rsidR="00786D0F" w:rsidRPr="00786D0F" w:rsidRDefault="00786D0F" w:rsidP="00B42F86">
      <w:pPr>
        <w:pStyle w:val="ECHRDecisionBody"/>
        <w:rPr>
          <w:lang w:val="fr-FR"/>
        </w:rPr>
      </w:pPr>
      <w:r w:rsidRPr="00786D0F">
        <w:rPr>
          <w:lang w:val="fr-FR"/>
        </w:rPr>
        <w:tab/>
        <w:t>Päivi Hirvelä,</w:t>
      </w:r>
      <w:r w:rsidRPr="00786D0F">
        <w:rPr>
          <w:i/>
          <w:lang w:val="fr-FR"/>
        </w:rPr>
        <w:t xml:space="preserve"> présidente,</w:t>
      </w:r>
      <w:r w:rsidRPr="00786D0F">
        <w:rPr>
          <w:i/>
          <w:lang w:val="fr-FR"/>
        </w:rPr>
        <w:br/>
      </w:r>
      <w:r w:rsidRPr="00786D0F">
        <w:rPr>
          <w:lang w:val="fr-FR"/>
        </w:rPr>
        <w:tab/>
        <w:t>Guido Raimondi,</w:t>
      </w:r>
      <w:r w:rsidRPr="00786D0F">
        <w:rPr>
          <w:i/>
          <w:lang w:val="fr-FR"/>
        </w:rPr>
        <w:br/>
      </w:r>
      <w:r w:rsidRPr="00786D0F">
        <w:rPr>
          <w:lang w:val="fr-FR"/>
        </w:rPr>
        <w:tab/>
        <w:t>Ledi Bianku,</w:t>
      </w:r>
      <w:r w:rsidRPr="00786D0F">
        <w:rPr>
          <w:i/>
          <w:lang w:val="fr-FR"/>
        </w:rPr>
        <w:br/>
      </w:r>
      <w:r w:rsidRPr="00786D0F">
        <w:rPr>
          <w:lang w:val="fr-FR"/>
        </w:rPr>
        <w:tab/>
        <w:t>Linos-Alexandre Sicilianos,</w:t>
      </w:r>
      <w:r w:rsidRPr="00786D0F">
        <w:rPr>
          <w:i/>
          <w:lang w:val="fr-FR"/>
        </w:rPr>
        <w:br/>
      </w:r>
      <w:r w:rsidRPr="00786D0F">
        <w:rPr>
          <w:lang w:val="fr-FR"/>
        </w:rPr>
        <w:tab/>
        <w:t>Paul Mahoney,</w:t>
      </w:r>
      <w:r w:rsidRPr="00786D0F">
        <w:rPr>
          <w:i/>
          <w:lang w:val="fr-FR"/>
        </w:rPr>
        <w:br/>
      </w:r>
      <w:r w:rsidRPr="00786D0F">
        <w:rPr>
          <w:lang w:val="fr-FR"/>
        </w:rPr>
        <w:tab/>
        <w:t>Aleš Pejchal,</w:t>
      </w:r>
      <w:r w:rsidRPr="00786D0F">
        <w:rPr>
          <w:i/>
          <w:lang w:val="fr-FR"/>
        </w:rPr>
        <w:br/>
      </w:r>
      <w:r w:rsidRPr="00786D0F">
        <w:rPr>
          <w:lang w:val="fr-FR"/>
        </w:rPr>
        <w:tab/>
        <w:t>Armen Harutyunyan,</w:t>
      </w:r>
      <w:r w:rsidRPr="00786D0F">
        <w:rPr>
          <w:i/>
          <w:lang w:val="fr-FR"/>
        </w:rPr>
        <w:t xml:space="preserve"> juges,</w:t>
      </w:r>
    </w:p>
    <w:p w:rsidR="00786D0F" w:rsidRPr="00C01637" w:rsidRDefault="00786D0F" w:rsidP="00B42F86">
      <w:pPr>
        <w:pStyle w:val="ECHRDecisionBody"/>
        <w:rPr>
          <w:lang w:val="fr-FR"/>
        </w:rPr>
      </w:pPr>
      <w:r w:rsidRPr="00C01637">
        <w:rPr>
          <w:lang w:val="fr-FR"/>
        </w:rPr>
        <w:t xml:space="preserve">et de </w:t>
      </w:r>
      <w:r>
        <w:rPr>
          <w:lang w:val="fr-FR"/>
        </w:rPr>
        <w:t>André Wampach</w:t>
      </w:r>
      <w:r w:rsidRPr="00C01637">
        <w:rPr>
          <w:lang w:val="fr-FR"/>
        </w:rPr>
        <w:t xml:space="preserve">, </w:t>
      </w:r>
      <w:r w:rsidRPr="00C01637">
        <w:rPr>
          <w:i/>
          <w:lang w:val="fr-FR"/>
        </w:rPr>
        <w:t>greffier</w:t>
      </w:r>
      <w:r w:rsidRPr="00C01637">
        <w:rPr>
          <w:i/>
          <w:iCs/>
          <w:lang w:val="fr-FR"/>
        </w:rPr>
        <w:t xml:space="preserve"> </w:t>
      </w:r>
      <w:r>
        <w:rPr>
          <w:i/>
          <w:iCs/>
          <w:lang w:val="fr-FR"/>
        </w:rPr>
        <w:t xml:space="preserve">adjoint </w:t>
      </w:r>
      <w:r w:rsidRPr="00C01637">
        <w:rPr>
          <w:i/>
          <w:iCs/>
          <w:lang w:val="fr-FR"/>
        </w:rPr>
        <w:t>d</w:t>
      </w:r>
      <w:r w:rsidRPr="00C01637">
        <w:rPr>
          <w:i/>
          <w:lang w:val="fr-FR"/>
        </w:rPr>
        <w:t>e section,</w:t>
      </w:r>
    </w:p>
    <w:p w:rsidR="00786D0F" w:rsidRPr="00C01637" w:rsidRDefault="00786D0F" w:rsidP="00786D0F">
      <w:pPr>
        <w:pStyle w:val="ECHRPara"/>
        <w:rPr>
          <w:lang w:val="fr-FR"/>
        </w:rPr>
      </w:pPr>
      <w:r w:rsidRPr="00C01637">
        <w:rPr>
          <w:lang w:val="fr-FR"/>
        </w:rPr>
        <w:t>Vu la requête susmentionnée introduite le 21 mai 2013,</w:t>
      </w:r>
    </w:p>
    <w:p w:rsidR="00786D0F" w:rsidRPr="00C01637" w:rsidRDefault="00786D0F" w:rsidP="00786D0F">
      <w:pPr>
        <w:pStyle w:val="ECHRPara"/>
        <w:rPr>
          <w:color w:val="000000"/>
          <w:lang w:val="fr-FR"/>
        </w:rPr>
      </w:pPr>
      <w:r w:rsidRPr="00C01637">
        <w:rPr>
          <w:lang w:val="fr-FR"/>
        </w:rPr>
        <w:t>Après en avoir délibéré, rend la décision suivante :</w:t>
      </w:r>
    </w:p>
    <w:p w:rsidR="00786D0F" w:rsidRPr="00C01637" w:rsidRDefault="00786D0F" w:rsidP="00786D0F">
      <w:pPr>
        <w:pStyle w:val="ECHRTitle1"/>
        <w:rPr>
          <w:lang w:val="fr-FR"/>
        </w:rPr>
      </w:pPr>
      <w:r w:rsidRPr="00C01637">
        <w:rPr>
          <w:lang w:val="fr-FR"/>
        </w:rPr>
        <w:t>EN FAIT</w:t>
      </w:r>
    </w:p>
    <w:p w:rsidR="00786D0F" w:rsidRPr="00C01637" w:rsidRDefault="00786D0F" w:rsidP="00786D0F">
      <w:pPr>
        <w:pStyle w:val="ECHRPara"/>
        <w:rPr>
          <w:lang w:val="fr-FR"/>
        </w:rPr>
      </w:pPr>
      <w:r>
        <w:rPr>
          <w:lang w:val="fr-FR"/>
        </w:rPr>
        <w:t>1</w:t>
      </w:r>
      <w:r w:rsidRPr="00C01637">
        <w:rPr>
          <w:lang w:val="fr-FR"/>
        </w:rPr>
        <w:t>.  Le requérant, M. Luigi Monaco, est un ressortissant italien né en 1982 et résidant à Naples. Il a été représenté devant la Cour par M</w:t>
      </w:r>
      <w:r w:rsidRPr="00C01637">
        <w:rPr>
          <w:vertAlign w:val="superscript"/>
          <w:lang w:val="fr-FR"/>
        </w:rPr>
        <w:t>e</w:t>
      </w:r>
      <w:r w:rsidRPr="00C01637">
        <w:rPr>
          <w:lang w:val="fr-FR"/>
        </w:rPr>
        <w:t> G. Pasquariello, avocat à Caserte.</w:t>
      </w:r>
    </w:p>
    <w:p w:rsidR="00786D0F" w:rsidRPr="00C01637" w:rsidRDefault="00786D0F" w:rsidP="00786D0F">
      <w:pPr>
        <w:pStyle w:val="ECHRHeading2"/>
        <w:rPr>
          <w:lang w:val="fr-FR"/>
        </w:rPr>
      </w:pPr>
      <w:r w:rsidRPr="00C01637">
        <w:rPr>
          <w:lang w:val="fr-FR"/>
        </w:rPr>
        <w:t>A.  Les circonstances de l</w:t>
      </w:r>
      <w:r w:rsidR="00B42F86">
        <w:rPr>
          <w:lang w:val="fr-FR"/>
        </w:rPr>
        <w:t>’</w:t>
      </w:r>
      <w:r w:rsidRPr="00C01637">
        <w:rPr>
          <w:lang w:val="fr-FR"/>
        </w:rPr>
        <w:t>espèce</w:t>
      </w:r>
    </w:p>
    <w:p w:rsidR="00786D0F" w:rsidRPr="00C01637" w:rsidRDefault="00786D0F" w:rsidP="00786D0F">
      <w:pPr>
        <w:pStyle w:val="ECHRPara"/>
        <w:rPr>
          <w:lang w:val="fr-FR"/>
        </w:rPr>
      </w:pPr>
      <w:r>
        <w:rPr>
          <w:lang w:val="fr-FR"/>
        </w:rPr>
        <w:t>2</w:t>
      </w:r>
      <w:r w:rsidRPr="00C01637">
        <w:rPr>
          <w:lang w:val="fr-FR"/>
        </w:rPr>
        <w:t>.  Les faits de la cause, tels qu</w:t>
      </w:r>
      <w:r w:rsidR="00B42F86">
        <w:rPr>
          <w:lang w:val="fr-FR"/>
        </w:rPr>
        <w:t>’</w:t>
      </w:r>
      <w:r w:rsidRPr="00C01637">
        <w:rPr>
          <w:lang w:val="fr-FR"/>
        </w:rPr>
        <w:t>ils ont été exposés par le requérant, peuvent se résumer comme suit.</w:t>
      </w:r>
    </w:p>
    <w:p w:rsidR="00786D0F" w:rsidRPr="00C01637" w:rsidRDefault="00786D0F" w:rsidP="00786D0F">
      <w:pPr>
        <w:pStyle w:val="ECHRHeading3"/>
        <w:rPr>
          <w:lang w:val="fr-FR"/>
        </w:rPr>
      </w:pPr>
      <w:r w:rsidRPr="00C01637">
        <w:rPr>
          <w:lang w:val="fr-FR"/>
        </w:rPr>
        <w:lastRenderedPageBreak/>
        <w:t>1.  La conduite du requérant et l</w:t>
      </w:r>
      <w:r w:rsidR="00B42F86">
        <w:rPr>
          <w:lang w:val="fr-FR"/>
        </w:rPr>
        <w:t>’</w:t>
      </w:r>
      <w:r w:rsidRPr="00C01637">
        <w:rPr>
          <w:lang w:val="fr-FR"/>
        </w:rPr>
        <w:t>adoption du premier décret du recteur</w:t>
      </w:r>
    </w:p>
    <w:p w:rsidR="0092451F" w:rsidRDefault="00786D0F" w:rsidP="00786D0F">
      <w:pPr>
        <w:pStyle w:val="ECHRPara"/>
        <w:rPr>
          <w:lang w:val="fr-FR"/>
        </w:rPr>
      </w:pPr>
      <w:r>
        <w:rPr>
          <w:lang w:val="fr-FR"/>
        </w:rPr>
        <w:t>3</w:t>
      </w:r>
      <w:r w:rsidRPr="00C01637">
        <w:rPr>
          <w:lang w:val="fr-FR"/>
        </w:rPr>
        <w:t>.  En février 2009, le requérant était un étudiant auprès de la faculté de psychologie de l</w:t>
      </w:r>
      <w:r w:rsidR="00B42F86">
        <w:rPr>
          <w:lang w:val="fr-FR"/>
        </w:rPr>
        <w:t>’</w:t>
      </w:r>
      <w:r w:rsidRPr="00C01637">
        <w:rPr>
          <w:lang w:val="fr-FR"/>
        </w:rPr>
        <w:t xml:space="preserve">université de Naples. Il souhaitait obtenir la validation de trois examens afin de pouvoir </w:t>
      </w:r>
      <w:r>
        <w:rPr>
          <w:lang w:val="fr-FR"/>
        </w:rPr>
        <w:t>soutenir sa thèse</w:t>
      </w:r>
      <w:r w:rsidRPr="00C01637">
        <w:rPr>
          <w:lang w:val="fr-FR"/>
        </w:rPr>
        <w:t xml:space="preserve"> (</w:t>
      </w:r>
      <w:r w:rsidRPr="00C01637">
        <w:rPr>
          <w:i/>
          <w:lang w:val="fr-FR"/>
        </w:rPr>
        <w:t>tesi di laurea</w:t>
      </w:r>
      <w:r w:rsidRPr="00C01637">
        <w:rPr>
          <w:lang w:val="fr-FR"/>
        </w:rPr>
        <w:t>) lors de session de mars 2009. Il demanda dès lors à rencontrer la rectrice de la faculté de psychologie, X, sans succès.</w:t>
      </w:r>
    </w:p>
    <w:p w:rsidR="00786D0F" w:rsidRPr="00C01637" w:rsidRDefault="00786D0F" w:rsidP="00786D0F">
      <w:pPr>
        <w:pStyle w:val="ECHRPara"/>
        <w:rPr>
          <w:lang w:val="fr-FR"/>
        </w:rPr>
      </w:pPr>
      <w:r>
        <w:rPr>
          <w:lang w:val="fr-FR"/>
        </w:rPr>
        <w:t>4</w:t>
      </w:r>
      <w:r w:rsidRPr="00C01637">
        <w:rPr>
          <w:lang w:val="fr-FR"/>
        </w:rPr>
        <w:t>.  Le 25 février 2009, le requérant se présenta au rectorat. Il demanda de parler avec X et, se heurtant à un refus, il eut une altercation avec une employée du secrétariat, Y.</w:t>
      </w:r>
    </w:p>
    <w:p w:rsidR="00786D0F" w:rsidRPr="00C01637" w:rsidRDefault="00786D0F" w:rsidP="00786D0F">
      <w:pPr>
        <w:pStyle w:val="ECHRPara"/>
        <w:rPr>
          <w:lang w:val="fr-FR"/>
        </w:rPr>
      </w:pPr>
      <w:r>
        <w:rPr>
          <w:lang w:val="fr-FR"/>
        </w:rPr>
        <w:t>5</w:t>
      </w:r>
      <w:r w:rsidRPr="00C01637">
        <w:rPr>
          <w:lang w:val="fr-FR"/>
        </w:rPr>
        <w:t>.  Le 10 mars 2009, le requérant demanda la fixation d</w:t>
      </w:r>
      <w:r w:rsidR="00B42F86">
        <w:rPr>
          <w:lang w:val="fr-FR"/>
        </w:rPr>
        <w:t>’</w:t>
      </w:r>
      <w:r w:rsidRPr="00C01637">
        <w:rPr>
          <w:lang w:val="fr-FR"/>
        </w:rPr>
        <w:t xml:space="preserve">une session extraordinaire pour </w:t>
      </w:r>
      <w:r>
        <w:rPr>
          <w:lang w:val="fr-FR"/>
        </w:rPr>
        <w:t>soutenir sa thèse</w:t>
      </w:r>
      <w:r w:rsidRPr="00C01637">
        <w:rPr>
          <w:lang w:val="fr-FR"/>
        </w:rPr>
        <w:t>. Le 31 mars 2009, le conseil de la faculté rejeta cette demande. Il observa qu</w:t>
      </w:r>
      <w:r w:rsidR="00B42F86">
        <w:rPr>
          <w:lang w:val="fr-FR"/>
        </w:rPr>
        <w:t>’</w:t>
      </w:r>
      <w:r w:rsidRPr="00C01637">
        <w:rPr>
          <w:lang w:val="fr-FR"/>
        </w:rPr>
        <w:t>aucun règlement n</w:t>
      </w:r>
      <w:r w:rsidR="00B42F86">
        <w:rPr>
          <w:lang w:val="fr-FR"/>
        </w:rPr>
        <w:t>’</w:t>
      </w:r>
      <w:r w:rsidRPr="00C01637">
        <w:rPr>
          <w:lang w:val="fr-FR"/>
        </w:rPr>
        <w:t>autorisait la fixation d</w:t>
      </w:r>
      <w:r w:rsidR="00B42F86">
        <w:rPr>
          <w:lang w:val="fr-FR"/>
        </w:rPr>
        <w:t>’</w:t>
      </w:r>
      <w:r w:rsidRPr="00C01637">
        <w:rPr>
          <w:lang w:val="fr-FR"/>
        </w:rPr>
        <w:t>une session au bénéfice d</w:t>
      </w:r>
      <w:r w:rsidR="00B42F86">
        <w:rPr>
          <w:lang w:val="fr-FR"/>
        </w:rPr>
        <w:t>’</w:t>
      </w:r>
      <w:r w:rsidRPr="00C01637">
        <w:rPr>
          <w:lang w:val="fr-FR"/>
        </w:rPr>
        <w:t>un seul étudiant.</w:t>
      </w:r>
    </w:p>
    <w:p w:rsidR="0092451F" w:rsidRDefault="00786D0F" w:rsidP="00786D0F">
      <w:pPr>
        <w:pStyle w:val="ECHRPara"/>
        <w:rPr>
          <w:lang w:val="fr-FR"/>
        </w:rPr>
      </w:pPr>
      <w:r>
        <w:rPr>
          <w:lang w:val="fr-FR"/>
        </w:rPr>
        <w:t>6</w:t>
      </w:r>
      <w:r w:rsidRPr="00C01637">
        <w:rPr>
          <w:lang w:val="fr-FR"/>
        </w:rPr>
        <w:t>.  Le requérant envoya alors des courriels à X. Le texte de ces courriels n</w:t>
      </w:r>
      <w:r w:rsidR="00B42F86">
        <w:rPr>
          <w:lang w:val="fr-FR"/>
        </w:rPr>
        <w:t>’</w:t>
      </w:r>
      <w:r w:rsidRPr="00C01637">
        <w:rPr>
          <w:lang w:val="fr-FR"/>
        </w:rPr>
        <w:t>a pas été produit devant la Cour. Selon la version du requérant, il s</w:t>
      </w:r>
      <w:r w:rsidR="00B42F86">
        <w:rPr>
          <w:lang w:val="fr-FR"/>
        </w:rPr>
        <w:t>’</w:t>
      </w:r>
      <w:r w:rsidRPr="00C01637">
        <w:rPr>
          <w:lang w:val="fr-FR"/>
        </w:rPr>
        <w:t>était borné à manifester son mécontentement ; les expressions utilisées ne visaient pas l</w:t>
      </w:r>
      <w:r w:rsidR="00B42F86">
        <w:rPr>
          <w:lang w:val="fr-FR"/>
        </w:rPr>
        <w:t>’</w:t>
      </w:r>
      <w:r w:rsidRPr="00C01637">
        <w:rPr>
          <w:lang w:val="fr-FR"/>
        </w:rPr>
        <w:t>institution universitaire et n</w:t>
      </w:r>
      <w:r w:rsidR="00B42F86">
        <w:rPr>
          <w:lang w:val="fr-FR"/>
        </w:rPr>
        <w:t>’</w:t>
      </w:r>
      <w:r w:rsidRPr="00C01637">
        <w:rPr>
          <w:lang w:val="fr-FR"/>
        </w:rPr>
        <w:t>étaient pas de nature à dénigrer sa dignité et son prestige. Elles étaient, au contraire, adressées à X, en tant que particulière et sans référence aux fonctions qu</w:t>
      </w:r>
      <w:r w:rsidR="00B42F86">
        <w:rPr>
          <w:lang w:val="fr-FR"/>
        </w:rPr>
        <w:t>’</w:t>
      </w:r>
      <w:r w:rsidRPr="00C01637">
        <w:rPr>
          <w:lang w:val="fr-FR"/>
        </w:rPr>
        <w:t>elle exerçait.</w:t>
      </w:r>
    </w:p>
    <w:p w:rsidR="00786D0F" w:rsidRPr="00C01637" w:rsidRDefault="00786D0F" w:rsidP="00786D0F">
      <w:pPr>
        <w:pStyle w:val="ECHRPara"/>
        <w:rPr>
          <w:lang w:val="fr-FR"/>
        </w:rPr>
      </w:pPr>
      <w:bookmarkStart w:id="1" w:name="convoqrequ1"/>
      <w:r>
        <w:rPr>
          <w:lang w:val="fr-FR"/>
        </w:rPr>
        <w:t>7</w:t>
      </w:r>
      <w:bookmarkEnd w:id="1"/>
      <w:r w:rsidRPr="00C01637">
        <w:rPr>
          <w:lang w:val="fr-FR"/>
        </w:rPr>
        <w:t>.  Une commission de discipline de l</w:t>
      </w:r>
      <w:r w:rsidR="00B42F86">
        <w:rPr>
          <w:lang w:val="fr-FR"/>
        </w:rPr>
        <w:t>’</w:t>
      </w:r>
      <w:r w:rsidRPr="00C01637">
        <w:rPr>
          <w:lang w:val="fr-FR"/>
        </w:rPr>
        <w:t>université, composée d</w:t>
      </w:r>
      <w:r w:rsidR="00B42F86">
        <w:rPr>
          <w:lang w:val="fr-FR"/>
        </w:rPr>
        <w:t>’</w:t>
      </w:r>
      <w:r w:rsidRPr="00C01637">
        <w:rPr>
          <w:lang w:val="fr-FR"/>
        </w:rPr>
        <w:t>un délégué du recteur, d</w:t>
      </w:r>
      <w:r w:rsidR="00B42F86">
        <w:rPr>
          <w:lang w:val="fr-FR"/>
        </w:rPr>
        <w:t>’</w:t>
      </w:r>
      <w:r w:rsidRPr="00C01637">
        <w:rPr>
          <w:lang w:val="fr-FR"/>
        </w:rPr>
        <w:t xml:space="preserve">un professeur </w:t>
      </w:r>
      <w:r>
        <w:rPr>
          <w:lang w:val="fr-FR"/>
        </w:rPr>
        <w:t>d</w:t>
      </w:r>
      <w:r w:rsidR="00B42F86">
        <w:rPr>
          <w:lang w:val="fr-FR"/>
        </w:rPr>
        <w:t>’</w:t>
      </w:r>
      <w:r w:rsidRPr="00C01637">
        <w:rPr>
          <w:lang w:val="fr-FR"/>
        </w:rPr>
        <w:t>universit</w:t>
      </w:r>
      <w:r>
        <w:rPr>
          <w:lang w:val="fr-FR"/>
        </w:rPr>
        <w:t>é</w:t>
      </w:r>
      <w:r w:rsidRPr="00C01637">
        <w:rPr>
          <w:lang w:val="fr-FR"/>
        </w:rPr>
        <w:t xml:space="preserve"> et d</w:t>
      </w:r>
      <w:r w:rsidR="00B42F86">
        <w:rPr>
          <w:lang w:val="fr-FR"/>
        </w:rPr>
        <w:t>’</w:t>
      </w:r>
      <w:r w:rsidRPr="00C01637">
        <w:rPr>
          <w:lang w:val="fr-FR"/>
        </w:rPr>
        <w:t>une représentante des étudiants, Z, se réunit le 19 mai 2009. Elle décida de convoquer le requérant, X, Y et deux autres personnes</w:t>
      </w:r>
      <w:r>
        <w:rPr>
          <w:lang w:val="fr-FR"/>
        </w:rPr>
        <w:t xml:space="preserve"> (paragraphes 9 et 10 ci-après)</w:t>
      </w:r>
      <w:r w:rsidRPr="00C01637">
        <w:rPr>
          <w:lang w:val="fr-FR"/>
        </w:rPr>
        <w:t>. Les auditions furent fixées au 11</w:t>
      </w:r>
      <w:r w:rsidR="00AD5A90">
        <w:rPr>
          <w:lang w:val="fr-FR"/>
        </w:rPr>
        <w:t xml:space="preserve"> </w:t>
      </w:r>
      <w:r w:rsidRPr="00C01637">
        <w:rPr>
          <w:lang w:val="fr-FR"/>
        </w:rPr>
        <w:t>juin 2009.</w:t>
      </w:r>
    </w:p>
    <w:p w:rsidR="00786D0F" w:rsidRPr="00C01637" w:rsidRDefault="00786D0F" w:rsidP="00786D0F">
      <w:pPr>
        <w:pStyle w:val="ECHRPara"/>
        <w:rPr>
          <w:lang w:val="fr-FR"/>
        </w:rPr>
      </w:pPr>
      <w:bookmarkStart w:id="2" w:name="convoqrequ2"/>
      <w:r>
        <w:rPr>
          <w:lang w:val="fr-FR"/>
        </w:rPr>
        <w:t>8</w:t>
      </w:r>
      <w:bookmarkEnd w:id="2"/>
      <w:r w:rsidRPr="00C01637">
        <w:rPr>
          <w:lang w:val="fr-FR"/>
        </w:rPr>
        <w:t>.  Le requérant reçut une lettre, datée du 22 mai 2009, où l</w:t>
      </w:r>
      <w:r w:rsidR="00B42F86">
        <w:rPr>
          <w:lang w:val="fr-FR"/>
        </w:rPr>
        <w:t>’</w:t>
      </w:r>
      <w:r w:rsidRPr="00C01637">
        <w:rPr>
          <w:lang w:val="fr-FR"/>
        </w:rPr>
        <w:t>Université de Naples précisait qu</w:t>
      </w:r>
      <w:r w:rsidR="00B42F86">
        <w:rPr>
          <w:lang w:val="fr-FR"/>
        </w:rPr>
        <w:t>’</w:t>
      </w:r>
      <w:r w:rsidRPr="00C01637">
        <w:rPr>
          <w:lang w:val="fr-FR"/>
        </w:rPr>
        <w:t>il lui était reproché d</w:t>
      </w:r>
      <w:r w:rsidR="00B42F86">
        <w:rPr>
          <w:lang w:val="fr-FR"/>
        </w:rPr>
        <w:t>’</w:t>
      </w:r>
      <w:r w:rsidRPr="00C01637">
        <w:rPr>
          <w:lang w:val="fr-FR"/>
        </w:rPr>
        <w:t>avoir agressé verbalement Y et une autre personne et d</w:t>
      </w:r>
      <w:r w:rsidR="00B42F86">
        <w:rPr>
          <w:lang w:val="fr-FR"/>
        </w:rPr>
        <w:t>’</w:t>
      </w:r>
      <w:r w:rsidRPr="00C01637">
        <w:rPr>
          <w:lang w:val="fr-FR"/>
        </w:rPr>
        <w:t>avoir envoyé, les 7 et 19 avril 2009, des courriels à X et à plusieurs autres professeurs, contenant des expressions menaçantes et injurieuses, de nature à léser la dignité et le prestige de l</w:t>
      </w:r>
      <w:r w:rsidR="00B42F86">
        <w:rPr>
          <w:lang w:val="fr-FR"/>
        </w:rPr>
        <w:t>’</w:t>
      </w:r>
      <w:r w:rsidRPr="00C01637">
        <w:rPr>
          <w:lang w:val="fr-FR"/>
        </w:rPr>
        <w:t>institution universitaire. Le requérant fut</w:t>
      </w:r>
      <w:r>
        <w:rPr>
          <w:lang w:val="fr-FR"/>
        </w:rPr>
        <w:t>,</w:t>
      </w:r>
      <w:r w:rsidRPr="00C01637">
        <w:rPr>
          <w:lang w:val="fr-FR"/>
        </w:rPr>
        <w:t xml:space="preserve"> en outre</w:t>
      </w:r>
      <w:r>
        <w:rPr>
          <w:lang w:val="fr-FR"/>
        </w:rPr>
        <w:t>,</w:t>
      </w:r>
      <w:r w:rsidRPr="00C01637">
        <w:rPr>
          <w:lang w:val="fr-FR"/>
        </w:rPr>
        <w:t xml:space="preserve"> informé qu</w:t>
      </w:r>
      <w:r w:rsidR="00B42F86">
        <w:rPr>
          <w:lang w:val="fr-FR"/>
        </w:rPr>
        <w:t>’</w:t>
      </w:r>
      <w:r w:rsidRPr="00C01637">
        <w:rPr>
          <w:lang w:val="fr-FR"/>
        </w:rPr>
        <w:t>une commission de discipline avait été formée et qu</w:t>
      </w:r>
      <w:r w:rsidR="00B42F86">
        <w:rPr>
          <w:lang w:val="fr-FR"/>
        </w:rPr>
        <w:t>’</w:t>
      </w:r>
      <w:r w:rsidRPr="00C01637">
        <w:rPr>
          <w:lang w:val="fr-FR"/>
        </w:rPr>
        <w:t xml:space="preserve">elle aurait </w:t>
      </w:r>
      <w:r>
        <w:rPr>
          <w:lang w:val="fr-FR"/>
        </w:rPr>
        <w:t xml:space="preserve">à </w:t>
      </w:r>
      <w:r w:rsidRPr="00C01637">
        <w:rPr>
          <w:lang w:val="fr-FR"/>
        </w:rPr>
        <w:t>examin</w:t>
      </w:r>
      <w:r>
        <w:rPr>
          <w:lang w:val="fr-FR"/>
        </w:rPr>
        <w:t>er</w:t>
      </w:r>
      <w:r w:rsidRPr="00C01637">
        <w:rPr>
          <w:lang w:val="fr-FR"/>
        </w:rPr>
        <w:t xml:space="preserve"> les faits </w:t>
      </w:r>
      <w:r>
        <w:rPr>
          <w:lang w:val="fr-FR"/>
        </w:rPr>
        <w:t xml:space="preserve">et, </w:t>
      </w:r>
      <w:r w:rsidRPr="00C01637">
        <w:rPr>
          <w:lang w:val="fr-FR"/>
        </w:rPr>
        <w:t>si nécessaire,</w:t>
      </w:r>
      <w:r>
        <w:rPr>
          <w:lang w:val="fr-FR"/>
        </w:rPr>
        <w:t xml:space="preserve"> à infliger</w:t>
      </w:r>
      <w:r w:rsidRPr="00C01637">
        <w:rPr>
          <w:lang w:val="fr-FR"/>
        </w:rPr>
        <w:t xml:space="preserve"> les sanctions appropriées. Le requérant fut invité à se présenter devant la commission de discipline le 11</w:t>
      </w:r>
      <w:r w:rsidR="00AD5A90">
        <w:rPr>
          <w:lang w:val="fr-FR"/>
        </w:rPr>
        <w:t xml:space="preserve"> </w:t>
      </w:r>
      <w:r w:rsidRPr="00C01637">
        <w:rPr>
          <w:lang w:val="fr-FR"/>
        </w:rPr>
        <w:t xml:space="preserve">juin 2009. Le requérant pouvait se rendre au secrétariat de la faculté de psychologie et demander </w:t>
      </w:r>
      <w:r>
        <w:rPr>
          <w:lang w:val="fr-FR"/>
        </w:rPr>
        <w:t>l</w:t>
      </w:r>
      <w:r w:rsidR="00B42F86">
        <w:rPr>
          <w:lang w:val="fr-FR"/>
        </w:rPr>
        <w:t>’</w:t>
      </w:r>
      <w:r w:rsidRPr="00C01637">
        <w:rPr>
          <w:lang w:val="fr-FR"/>
        </w:rPr>
        <w:t>accès au dossier le concernant ; il lui était également loisible de présenter des mémoires écrits et des documents.</w:t>
      </w:r>
    </w:p>
    <w:p w:rsidR="00786D0F" w:rsidRPr="00C01637" w:rsidRDefault="00786D0F" w:rsidP="00786D0F">
      <w:pPr>
        <w:pStyle w:val="ECHRPara"/>
        <w:rPr>
          <w:lang w:val="fr-FR"/>
        </w:rPr>
      </w:pPr>
      <w:bookmarkStart w:id="3" w:name="riunionecommdisc1162009"/>
      <w:r>
        <w:rPr>
          <w:lang w:val="fr-FR"/>
        </w:rPr>
        <w:t>9</w:t>
      </w:r>
      <w:bookmarkEnd w:id="3"/>
      <w:r w:rsidRPr="00C01637">
        <w:rPr>
          <w:lang w:val="fr-FR"/>
        </w:rPr>
        <w:t xml:space="preserve">.  Le jour venu, le requérant ne se présenta pas. La commission de discipline ordonna </w:t>
      </w:r>
      <w:r>
        <w:rPr>
          <w:lang w:val="fr-FR"/>
        </w:rPr>
        <w:t xml:space="preserve">de verser au dossier </w:t>
      </w:r>
      <w:r w:rsidRPr="00C01637">
        <w:rPr>
          <w:lang w:val="fr-FR"/>
        </w:rPr>
        <w:t>un mémoire que l</w:t>
      </w:r>
      <w:r w:rsidR="00B42F86">
        <w:rPr>
          <w:lang w:val="fr-FR"/>
        </w:rPr>
        <w:t>’</w:t>
      </w:r>
      <w:r w:rsidRPr="00C01637">
        <w:rPr>
          <w:lang w:val="fr-FR"/>
        </w:rPr>
        <w:t>intéressé avait déposé le 10 juin 2009. X fut entendue par la commission. Elle produisit</w:t>
      </w:r>
      <w:r w:rsidR="0092451F">
        <w:rPr>
          <w:lang w:val="fr-FR"/>
        </w:rPr>
        <w:t xml:space="preserve"> </w:t>
      </w:r>
      <w:r w:rsidRPr="00C01637">
        <w:rPr>
          <w:lang w:val="fr-FR"/>
        </w:rPr>
        <w:t>copie de 25 courriels qu</w:t>
      </w:r>
      <w:r w:rsidR="00B42F86">
        <w:rPr>
          <w:lang w:val="fr-FR"/>
        </w:rPr>
        <w:t>’</w:t>
      </w:r>
      <w:r w:rsidRPr="00C01637">
        <w:rPr>
          <w:lang w:val="fr-FR"/>
        </w:rPr>
        <w:t>elle avait reçus du requérant au cours de la période allant du 24 novembre 2005 au 25 mai 2009. Y envoya un fax indiquant qu</w:t>
      </w:r>
      <w:r w:rsidR="00B42F86">
        <w:rPr>
          <w:lang w:val="fr-FR"/>
        </w:rPr>
        <w:t>’</w:t>
      </w:r>
      <w:r w:rsidRPr="00C01637">
        <w:rPr>
          <w:lang w:val="fr-FR"/>
        </w:rPr>
        <w:t xml:space="preserve">elle était empêchée </w:t>
      </w:r>
      <w:r>
        <w:rPr>
          <w:lang w:val="fr-FR"/>
        </w:rPr>
        <w:t>de</w:t>
      </w:r>
      <w:r w:rsidRPr="00C01637">
        <w:rPr>
          <w:lang w:val="fr-FR"/>
        </w:rPr>
        <w:t xml:space="preserve"> comparaître. Une autre personne fut entendue en qualité de partie lésée.</w:t>
      </w:r>
    </w:p>
    <w:p w:rsidR="00786D0F" w:rsidRPr="00C01637" w:rsidRDefault="00786D0F" w:rsidP="00786D0F">
      <w:pPr>
        <w:pStyle w:val="ECHRPara"/>
        <w:rPr>
          <w:lang w:val="fr-FR"/>
        </w:rPr>
      </w:pPr>
      <w:bookmarkStart w:id="4" w:name="riunionecommdisc1762009"/>
      <w:r>
        <w:rPr>
          <w:lang w:val="fr-FR"/>
        </w:rPr>
        <w:lastRenderedPageBreak/>
        <w:t>10</w:t>
      </w:r>
      <w:bookmarkEnd w:id="4"/>
      <w:r w:rsidRPr="00C01637">
        <w:rPr>
          <w:lang w:val="fr-FR"/>
        </w:rPr>
        <w:t xml:space="preserve">.  Le 17 juin 2009, la commission de discipline </w:t>
      </w:r>
      <w:r>
        <w:rPr>
          <w:lang w:val="fr-FR"/>
        </w:rPr>
        <w:t>entendit</w:t>
      </w:r>
      <w:r w:rsidRPr="00C01637">
        <w:rPr>
          <w:lang w:val="fr-FR"/>
        </w:rPr>
        <w:t xml:space="preserve"> un témoin, W. Ce dernier déclara que</w:t>
      </w:r>
      <w:r>
        <w:rPr>
          <w:lang w:val="fr-FR"/>
        </w:rPr>
        <w:t>, présent le</w:t>
      </w:r>
      <w:r w:rsidRPr="00C01637">
        <w:rPr>
          <w:lang w:val="fr-FR"/>
        </w:rPr>
        <w:t xml:space="preserve"> 25 février 2009, il avait </w:t>
      </w:r>
      <w:r>
        <w:rPr>
          <w:lang w:val="fr-FR"/>
        </w:rPr>
        <w:t>entendu</w:t>
      </w:r>
      <w:r w:rsidRPr="00C01637">
        <w:rPr>
          <w:lang w:val="fr-FR"/>
        </w:rPr>
        <w:t xml:space="preserve"> le requérant agresser verbalement Y en utilisant des expressions offensantes et menaçantes. W avait alors invité le requérant à quitter les lieux. La commission de discipline reçut un fax de la part de Y, </w:t>
      </w:r>
      <w:r>
        <w:rPr>
          <w:lang w:val="fr-FR"/>
        </w:rPr>
        <w:t>l</w:t>
      </w:r>
      <w:r w:rsidR="00B42F86">
        <w:rPr>
          <w:lang w:val="fr-FR"/>
        </w:rPr>
        <w:t>’</w:t>
      </w:r>
      <w:r>
        <w:rPr>
          <w:lang w:val="fr-FR"/>
        </w:rPr>
        <w:t>inform</w:t>
      </w:r>
      <w:r w:rsidRPr="00C01637">
        <w:rPr>
          <w:lang w:val="fr-FR"/>
        </w:rPr>
        <w:t>ant qu</w:t>
      </w:r>
      <w:r w:rsidR="00B42F86">
        <w:rPr>
          <w:lang w:val="fr-FR"/>
        </w:rPr>
        <w:t>’</w:t>
      </w:r>
      <w:r w:rsidRPr="00C01637">
        <w:rPr>
          <w:lang w:val="fr-FR"/>
        </w:rPr>
        <w:t>elle n</w:t>
      </w:r>
      <w:r w:rsidR="00B42F86">
        <w:rPr>
          <w:lang w:val="fr-FR"/>
        </w:rPr>
        <w:t>’</w:t>
      </w:r>
      <w:r w:rsidRPr="00C01637">
        <w:rPr>
          <w:lang w:val="fr-FR"/>
        </w:rPr>
        <w:t>était pas en mesure de comparaître et contenant des déclarations qui intégraient celles contenues dans une plainte que Y avait déposée le 26 février 2009.</w:t>
      </w:r>
    </w:p>
    <w:p w:rsidR="0092451F" w:rsidRDefault="00786D0F" w:rsidP="00786D0F">
      <w:pPr>
        <w:pStyle w:val="ECHRPara"/>
        <w:rPr>
          <w:lang w:val="fr-FR"/>
        </w:rPr>
      </w:pPr>
      <w:bookmarkStart w:id="5" w:name="deliberazionecommdisc1"/>
      <w:r>
        <w:rPr>
          <w:lang w:val="fr-FR"/>
        </w:rPr>
        <w:t>11</w:t>
      </w:r>
      <w:bookmarkEnd w:id="5"/>
      <w:r w:rsidRPr="00C01637">
        <w:rPr>
          <w:lang w:val="fr-FR"/>
        </w:rPr>
        <w:t>.  Par une délibération du 17 juin 2009, la commission de discipline proposa d</w:t>
      </w:r>
      <w:r w:rsidR="00B42F86">
        <w:rPr>
          <w:lang w:val="fr-FR"/>
        </w:rPr>
        <w:t>’</w:t>
      </w:r>
      <w:r w:rsidRPr="00C01637">
        <w:rPr>
          <w:lang w:val="fr-FR"/>
        </w:rPr>
        <w:t>infliger au requérant la sanction disciplinaire de l</w:t>
      </w:r>
      <w:r w:rsidR="00B42F86">
        <w:rPr>
          <w:lang w:val="fr-FR"/>
        </w:rPr>
        <w:t>’</w:t>
      </w:r>
      <w:r w:rsidRPr="00C01637">
        <w:rPr>
          <w:lang w:val="fr-FR"/>
        </w:rPr>
        <w:t>exclusion de l</w:t>
      </w:r>
      <w:r w:rsidR="00B42F86">
        <w:rPr>
          <w:lang w:val="fr-FR"/>
        </w:rPr>
        <w:t>’</w:t>
      </w:r>
      <w:r w:rsidRPr="00C01637">
        <w:rPr>
          <w:lang w:val="fr-FR"/>
        </w:rPr>
        <w:t>université, et ce aux termes de l</w:t>
      </w:r>
      <w:r w:rsidR="00B42F86">
        <w:rPr>
          <w:lang w:val="fr-FR"/>
        </w:rPr>
        <w:t>’</w:t>
      </w:r>
      <w:r w:rsidRPr="00C01637">
        <w:rPr>
          <w:lang w:val="fr-FR"/>
        </w:rPr>
        <w:t xml:space="preserve">article 37 du règlement </w:t>
      </w:r>
      <w:r>
        <w:rPr>
          <w:lang w:val="fr-FR"/>
        </w:rPr>
        <w:t>pédagogi</w:t>
      </w:r>
      <w:r w:rsidRPr="00C01637">
        <w:rPr>
          <w:lang w:val="fr-FR"/>
        </w:rPr>
        <w:t>que de l</w:t>
      </w:r>
      <w:r w:rsidR="00B42F86">
        <w:rPr>
          <w:lang w:val="fr-FR"/>
        </w:rPr>
        <w:t>’</w:t>
      </w:r>
      <w:r w:rsidRPr="00C01637">
        <w:rPr>
          <w:lang w:val="fr-FR"/>
        </w:rPr>
        <w:t>athénée (</w:t>
      </w:r>
      <w:r w:rsidRPr="00C01637">
        <w:rPr>
          <w:i/>
          <w:lang w:val="fr-FR"/>
        </w:rPr>
        <w:t xml:space="preserve">regolamento didattico di Ateneo </w:t>
      </w:r>
      <w:r w:rsidRPr="00C01637">
        <w:rPr>
          <w:lang w:val="fr-FR"/>
        </w:rPr>
        <w:t xml:space="preserve">– paragraphe </w:t>
      </w:r>
      <w:r>
        <w:rPr>
          <w:lang w:val="fr-FR"/>
        </w:rPr>
        <w:t>29</w:t>
      </w:r>
      <w:r w:rsidRPr="00C01637">
        <w:rPr>
          <w:lang w:val="fr-FR"/>
        </w:rPr>
        <w:t xml:space="preserve"> ci-après). La commission de discipline estima notamment que le requérant avait eu un comportement agressif, menaçant et injurieux envers X, Y et l</w:t>
      </w:r>
      <w:r w:rsidR="00B42F86">
        <w:rPr>
          <w:lang w:val="fr-FR"/>
        </w:rPr>
        <w:t>’</w:t>
      </w:r>
      <w:r w:rsidRPr="00C01637">
        <w:rPr>
          <w:lang w:val="fr-FR"/>
        </w:rPr>
        <w:t>institution universitaire en tant que telle. Ce comportement s</w:t>
      </w:r>
      <w:r w:rsidR="00B42F86">
        <w:rPr>
          <w:lang w:val="fr-FR"/>
        </w:rPr>
        <w:t>’</w:t>
      </w:r>
      <w:r w:rsidRPr="00C01637">
        <w:rPr>
          <w:lang w:val="fr-FR"/>
        </w:rPr>
        <w:t>était articulé en plusieurs épisodes, et était révélateur</w:t>
      </w:r>
      <w:r>
        <w:rPr>
          <w:lang w:val="fr-FR"/>
        </w:rPr>
        <w:t xml:space="preserve">, </w:t>
      </w:r>
      <w:r w:rsidRPr="00C01637">
        <w:rPr>
          <w:lang w:val="fr-FR"/>
        </w:rPr>
        <w:t>de manière profonde et réitérée</w:t>
      </w:r>
      <w:r>
        <w:rPr>
          <w:lang w:val="fr-FR"/>
        </w:rPr>
        <w:t>,</w:t>
      </w:r>
      <w:r w:rsidRPr="00C01637">
        <w:rPr>
          <w:lang w:val="fr-FR"/>
        </w:rPr>
        <w:t xml:space="preserve"> d</w:t>
      </w:r>
      <w:r w:rsidR="00B42F86">
        <w:rPr>
          <w:lang w:val="fr-FR"/>
        </w:rPr>
        <w:t>’</w:t>
      </w:r>
      <w:r w:rsidRPr="00C01637">
        <w:rPr>
          <w:lang w:val="fr-FR"/>
        </w:rPr>
        <w:t>une attitude hostile envers tous les représentants de l</w:t>
      </w:r>
      <w:r w:rsidR="00B42F86">
        <w:rPr>
          <w:lang w:val="fr-FR"/>
        </w:rPr>
        <w:t>’</w:t>
      </w:r>
      <w:r w:rsidRPr="00C01637">
        <w:rPr>
          <w:lang w:val="fr-FR"/>
        </w:rPr>
        <w:t>institution universitaire. Par ailleurs, dans son mémoire, le requérant reconnaissait être l</w:t>
      </w:r>
      <w:r w:rsidR="00B42F86">
        <w:rPr>
          <w:lang w:val="fr-FR"/>
        </w:rPr>
        <w:t>’</w:t>
      </w:r>
      <w:r w:rsidRPr="00C01637">
        <w:rPr>
          <w:lang w:val="fr-FR"/>
        </w:rPr>
        <w:t>auteur des courriels et confirmait l</w:t>
      </w:r>
      <w:r w:rsidR="00B42F86">
        <w:rPr>
          <w:lang w:val="fr-FR"/>
        </w:rPr>
        <w:t>’</w:t>
      </w:r>
      <w:r w:rsidRPr="00C01637">
        <w:rPr>
          <w:lang w:val="fr-FR"/>
        </w:rPr>
        <w:t>épisode d</w:t>
      </w:r>
      <w:r w:rsidR="00B42F86">
        <w:rPr>
          <w:lang w:val="fr-FR"/>
        </w:rPr>
        <w:t>’</w:t>
      </w:r>
      <w:r w:rsidRPr="00C01637">
        <w:rPr>
          <w:lang w:val="fr-FR"/>
        </w:rPr>
        <w:t>agression verbale envers Y. Dans ce même mémoire, le requérant continuait d</w:t>
      </w:r>
      <w:r w:rsidR="00B42F86">
        <w:rPr>
          <w:lang w:val="fr-FR"/>
        </w:rPr>
        <w:t>’</w:t>
      </w:r>
      <w:r w:rsidRPr="00C01637">
        <w:rPr>
          <w:lang w:val="fr-FR"/>
        </w:rPr>
        <w:t>offenser les représentants de l</w:t>
      </w:r>
      <w:r w:rsidR="00B42F86">
        <w:rPr>
          <w:lang w:val="fr-FR"/>
        </w:rPr>
        <w:t>’</w:t>
      </w:r>
      <w:r w:rsidRPr="00C01637">
        <w:rPr>
          <w:lang w:val="fr-FR"/>
        </w:rPr>
        <w:t>université et accusait de comportement non correct Y, les professeurs, le personnel administratif et la commission de discipline elle-même. L</w:t>
      </w:r>
      <w:r w:rsidR="00B42F86">
        <w:rPr>
          <w:lang w:val="fr-FR"/>
        </w:rPr>
        <w:t>’</w:t>
      </w:r>
      <w:r w:rsidRPr="00C01637">
        <w:rPr>
          <w:lang w:val="fr-FR"/>
        </w:rPr>
        <w:t>ensemble de ces conduites était d</w:t>
      </w:r>
      <w:r w:rsidR="00B42F86">
        <w:rPr>
          <w:lang w:val="fr-FR"/>
        </w:rPr>
        <w:t>’</w:t>
      </w:r>
      <w:r w:rsidRPr="00C01637">
        <w:rPr>
          <w:lang w:val="fr-FR"/>
        </w:rPr>
        <w:t>une « gravité extrême », ce qui justifiait l</w:t>
      </w:r>
      <w:r w:rsidR="00B42F86">
        <w:rPr>
          <w:lang w:val="fr-FR"/>
        </w:rPr>
        <w:t>’</w:t>
      </w:r>
      <w:r w:rsidRPr="00C01637">
        <w:rPr>
          <w:lang w:val="fr-FR"/>
        </w:rPr>
        <w:t xml:space="preserve">infliction de la plus sévère des sanctions, et ce même en faisant abstraction du fait que le requérant </w:t>
      </w:r>
      <w:r>
        <w:rPr>
          <w:lang w:val="fr-FR"/>
        </w:rPr>
        <w:t>av</w:t>
      </w:r>
      <w:r w:rsidRPr="00C01637">
        <w:rPr>
          <w:lang w:val="fr-FR"/>
        </w:rPr>
        <w:t>a</w:t>
      </w:r>
      <w:r>
        <w:rPr>
          <w:lang w:val="fr-FR"/>
        </w:rPr>
        <w:t>i</w:t>
      </w:r>
      <w:r w:rsidRPr="00C01637">
        <w:rPr>
          <w:lang w:val="fr-FR"/>
        </w:rPr>
        <w:t>t fait l</w:t>
      </w:r>
      <w:r w:rsidR="00B42F86">
        <w:rPr>
          <w:lang w:val="fr-FR"/>
        </w:rPr>
        <w:t>’</w:t>
      </w:r>
      <w:r w:rsidRPr="00C01637">
        <w:rPr>
          <w:lang w:val="fr-FR"/>
        </w:rPr>
        <w:t>objet, le 25 février 2008, d</w:t>
      </w:r>
      <w:r w:rsidR="00B42F86">
        <w:rPr>
          <w:lang w:val="fr-FR"/>
        </w:rPr>
        <w:t>’</w:t>
      </w:r>
      <w:r w:rsidRPr="00C01637">
        <w:rPr>
          <w:lang w:val="fr-FR"/>
        </w:rPr>
        <w:t>une interdiction temporaire d</w:t>
      </w:r>
      <w:r w:rsidR="00B42F86">
        <w:rPr>
          <w:lang w:val="fr-FR"/>
        </w:rPr>
        <w:t>’</w:t>
      </w:r>
      <w:r>
        <w:rPr>
          <w:lang w:val="fr-FR"/>
        </w:rPr>
        <w:t>une</w:t>
      </w:r>
      <w:r w:rsidRPr="00C01637">
        <w:rPr>
          <w:lang w:val="fr-FR"/>
        </w:rPr>
        <w:t xml:space="preserve"> durée de deux mois</w:t>
      </w:r>
      <w:r>
        <w:rPr>
          <w:lang w:val="fr-FR"/>
        </w:rPr>
        <w:t xml:space="preserve"> (voi</w:t>
      </w:r>
      <w:r w:rsidR="005318BD">
        <w:rPr>
          <w:lang w:val="fr-FR"/>
        </w:rPr>
        <w:t>r paragraphe 28 ci</w:t>
      </w:r>
      <w:r w:rsidR="005318BD">
        <w:rPr>
          <w:lang w:val="fr-FR"/>
        </w:rPr>
        <w:noBreakHyphen/>
      </w:r>
      <w:r>
        <w:rPr>
          <w:lang w:val="fr-FR"/>
        </w:rPr>
        <w:t>après)</w:t>
      </w:r>
      <w:r w:rsidRPr="00C01637">
        <w:rPr>
          <w:lang w:val="fr-FR"/>
        </w:rPr>
        <w:t>.</w:t>
      </w:r>
    </w:p>
    <w:p w:rsidR="00786D0F" w:rsidRPr="00C01637" w:rsidRDefault="00786D0F" w:rsidP="00786D0F">
      <w:pPr>
        <w:pStyle w:val="ECHRPara"/>
        <w:rPr>
          <w:lang w:val="fr-FR"/>
        </w:rPr>
      </w:pPr>
      <w:bookmarkStart w:id="6" w:name="primodecretorettore"/>
      <w:r>
        <w:rPr>
          <w:lang w:val="fr-FR"/>
        </w:rPr>
        <w:t>12</w:t>
      </w:r>
      <w:bookmarkEnd w:id="6"/>
      <w:r w:rsidRPr="00C01637">
        <w:rPr>
          <w:lang w:val="fr-FR"/>
        </w:rPr>
        <w:t>.  Par un décret n</w:t>
      </w:r>
      <w:r w:rsidR="0092451F" w:rsidRPr="0092451F">
        <w:rPr>
          <w:vertAlign w:val="superscript"/>
          <w:lang w:val="fr-FR"/>
        </w:rPr>
        <w:t>o</w:t>
      </w:r>
      <w:r w:rsidRPr="00C01637">
        <w:rPr>
          <w:lang w:val="fr-FR"/>
        </w:rPr>
        <w:t xml:space="preserve"> 1823 du 20 juillet 2009 (ci-après, le « premier décret du recteur »), le recteur de l</w:t>
      </w:r>
      <w:r w:rsidR="00B42F86">
        <w:rPr>
          <w:lang w:val="fr-FR"/>
        </w:rPr>
        <w:t>’</w:t>
      </w:r>
      <w:r w:rsidRPr="00C01637">
        <w:rPr>
          <w:lang w:val="fr-FR"/>
        </w:rPr>
        <w:t>université de Naples infligea au requérant la sanction proposée par la commission de discipline.</w:t>
      </w:r>
    </w:p>
    <w:p w:rsidR="00786D0F" w:rsidRPr="00C01637" w:rsidRDefault="00786D0F" w:rsidP="00786D0F">
      <w:pPr>
        <w:pStyle w:val="ECHRHeading3"/>
        <w:rPr>
          <w:lang w:val="fr-FR"/>
        </w:rPr>
      </w:pPr>
      <w:r w:rsidRPr="00C01637">
        <w:rPr>
          <w:lang w:val="fr-FR"/>
        </w:rPr>
        <w:t>2.  Le recours devant le TAR et la demande de sursis de l</w:t>
      </w:r>
      <w:r w:rsidR="00B42F86">
        <w:rPr>
          <w:lang w:val="fr-FR"/>
        </w:rPr>
        <w:t>’</w:t>
      </w:r>
      <w:r w:rsidRPr="00C01637">
        <w:rPr>
          <w:lang w:val="fr-FR"/>
        </w:rPr>
        <w:t>exécution du premier décret du recteur</w:t>
      </w:r>
    </w:p>
    <w:p w:rsidR="00786D0F" w:rsidRPr="00C01637" w:rsidRDefault="00786D0F" w:rsidP="00786D0F">
      <w:pPr>
        <w:pStyle w:val="ECHRPara"/>
        <w:rPr>
          <w:lang w:val="fr-FR"/>
        </w:rPr>
      </w:pPr>
      <w:bookmarkStart w:id="7" w:name="primoricorsoTAR"/>
      <w:r>
        <w:rPr>
          <w:lang w:val="fr-FR"/>
        </w:rPr>
        <w:t>13</w:t>
      </w:r>
      <w:bookmarkEnd w:id="7"/>
      <w:r w:rsidRPr="00C01637">
        <w:rPr>
          <w:lang w:val="fr-FR"/>
        </w:rPr>
        <w:t>.  Le requérant introduisit devant le trib</w:t>
      </w:r>
      <w:r w:rsidR="005318BD">
        <w:rPr>
          <w:lang w:val="fr-FR"/>
        </w:rPr>
        <w:t>unal administratif régional (ci</w:t>
      </w:r>
      <w:r w:rsidR="005318BD">
        <w:rPr>
          <w:lang w:val="fr-FR"/>
        </w:rPr>
        <w:noBreakHyphen/>
      </w:r>
      <w:r w:rsidRPr="00C01637">
        <w:rPr>
          <w:lang w:val="fr-FR"/>
        </w:rPr>
        <w:t>après, le « TAR ») de Campanie un recours visant à obtenir l</w:t>
      </w:r>
      <w:r w:rsidR="00B42F86">
        <w:rPr>
          <w:lang w:val="fr-FR"/>
        </w:rPr>
        <w:t>’</w:t>
      </w:r>
      <w:r w:rsidRPr="00C01637">
        <w:rPr>
          <w:lang w:val="fr-FR"/>
        </w:rPr>
        <w:t>annulation du premier décret du recteur. Il demanda en outre le sursis de l</w:t>
      </w:r>
      <w:r w:rsidR="00B42F86">
        <w:rPr>
          <w:lang w:val="fr-FR"/>
        </w:rPr>
        <w:t>’</w:t>
      </w:r>
      <w:r w:rsidRPr="00C01637">
        <w:rPr>
          <w:lang w:val="fr-FR"/>
        </w:rPr>
        <w:t>exécution de</w:t>
      </w:r>
      <w:r w:rsidR="00B8565B">
        <w:rPr>
          <w:lang w:val="fr-FR"/>
        </w:rPr>
        <w:t xml:space="preserve"> la</w:t>
      </w:r>
      <w:r w:rsidRPr="00C01637">
        <w:rPr>
          <w:lang w:val="fr-FR"/>
        </w:rPr>
        <w:t xml:space="preserve"> mesure incriminée.</w:t>
      </w:r>
    </w:p>
    <w:p w:rsidR="0092451F" w:rsidRDefault="00786D0F" w:rsidP="00786D0F">
      <w:pPr>
        <w:pStyle w:val="ECHRPara"/>
        <w:rPr>
          <w:lang w:val="fr-FR"/>
        </w:rPr>
      </w:pPr>
      <w:bookmarkStart w:id="8" w:name="ordinanzasospensivaTAR"/>
      <w:r>
        <w:rPr>
          <w:lang w:val="fr-FR"/>
        </w:rPr>
        <w:t>14</w:t>
      </w:r>
      <w:bookmarkEnd w:id="8"/>
      <w:r w:rsidRPr="00C01637">
        <w:rPr>
          <w:lang w:val="fr-FR"/>
        </w:rPr>
        <w:t>.  Par une ordonnance du 28 octobre 2009, le TAR décida de suspendre l</w:t>
      </w:r>
      <w:r w:rsidR="00B42F86">
        <w:rPr>
          <w:lang w:val="fr-FR"/>
        </w:rPr>
        <w:t>’</w:t>
      </w:r>
      <w:r w:rsidRPr="00C01637">
        <w:rPr>
          <w:lang w:val="fr-FR"/>
        </w:rPr>
        <w:t>exécution du décret litigieux</w:t>
      </w:r>
      <w:r>
        <w:rPr>
          <w:lang w:val="fr-FR"/>
        </w:rPr>
        <w:t>, ceci</w:t>
      </w:r>
      <w:r w:rsidRPr="00C01637">
        <w:rPr>
          <w:lang w:val="fr-FR"/>
        </w:rPr>
        <w:t xml:space="preserve"> seulement dans la mesure où il ne fixait aucune limite temporelle à l</w:t>
      </w:r>
      <w:r w:rsidR="00B42F86">
        <w:rPr>
          <w:lang w:val="fr-FR"/>
        </w:rPr>
        <w:t>’</w:t>
      </w:r>
      <w:r w:rsidRPr="00C01637">
        <w:rPr>
          <w:lang w:val="fr-FR"/>
        </w:rPr>
        <w:t>exclusion du requérant. Le TAR observa que le recours du requérant n</w:t>
      </w:r>
      <w:r w:rsidR="00B42F86">
        <w:rPr>
          <w:lang w:val="fr-FR"/>
        </w:rPr>
        <w:t>’</w:t>
      </w:r>
      <w:r w:rsidRPr="00C01637">
        <w:rPr>
          <w:lang w:val="fr-FR"/>
        </w:rPr>
        <w:t xml:space="preserve">apparaissait pas </w:t>
      </w:r>
      <w:r w:rsidRPr="00C01637">
        <w:rPr>
          <w:i/>
          <w:lang w:val="fr-FR"/>
        </w:rPr>
        <w:t xml:space="preserve">prima facie </w:t>
      </w:r>
      <w:r w:rsidRPr="00C01637">
        <w:rPr>
          <w:lang w:val="fr-FR"/>
        </w:rPr>
        <w:t>mal fondé et qu</w:t>
      </w:r>
      <w:r w:rsidR="00B42F86">
        <w:rPr>
          <w:lang w:val="fr-FR"/>
        </w:rPr>
        <w:t>’</w:t>
      </w:r>
      <w:r w:rsidRPr="00C01637">
        <w:rPr>
          <w:lang w:val="fr-FR"/>
        </w:rPr>
        <w:t>aux termes de l</w:t>
      </w:r>
      <w:r w:rsidR="00B42F86">
        <w:rPr>
          <w:lang w:val="fr-FR"/>
        </w:rPr>
        <w:t>’</w:t>
      </w:r>
      <w:r w:rsidRPr="00C01637">
        <w:rPr>
          <w:lang w:val="fr-FR"/>
        </w:rPr>
        <w:t>article 16 § 2 du décret-loi royal n</w:t>
      </w:r>
      <w:r w:rsidR="0092451F" w:rsidRPr="0092451F">
        <w:rPr>
          <w:vertAlign w:val="superscript"/>
          <w:lang w:val="fr-FR"/>
        </w:rPr>
        <w:t>o</w:t>
      </w:r>
      <w:r w:rsidRPr="00C01637">
        <w:rPr>
          <w:lang w:val="fr-FR"/>
        </w:rPr>
        <w:t xml:space="preserve"> 1071 du 20 juin 1935 (paragraphe </w:t>
      </w:r>
      <w:r>
        <w:rPr>
          <w:lang w:val="fr-FR"/>
        </w:rPr>
        <w:t>28</w:t>
      </w:r>
      <w:r w:rsidRPr="00C01637">
        <w:rPr>
          <w:lang w:val="fr-FR"/>
        </w:rPr>
        <w:t xml:space="preserve"> ci-après), la sanction plus grave pouvant être infligée à un étudiant universitaire était celle de l</w:t>
      </w:r>
      <w:r w:rsidR="00B42F86">
        <w:rPr>
          <w:lang w:val="fr-FR"/>
        </w:rPr>
        <w:t>’</w:t>
      </w:r>
      <w:r w:rsidRPr="00C01637">
        <w:rPr>
          <w:lang w:val="fr-FR"/>
        </w:rPr>
        <w:t xml:space="preserve">exclusion temporaire. Or, se fondant </w:t>
      </w:r>
      <w:r w:rsidRPr="00C01637">
        <w:rPr>
          <w:lang w:val="fr-FR"/>
        </w:rPr>
        <w:lastRenderedPageBreak/>
        <w:t>sur une disposition du règlement manifestement incompatible avec l</w:t>
      </w:r>
      <w:r w:rsidR="00B42F86">
        <w:rPr>
          <w:lang w:val="fr-FR"/>
        </w:rPr>
        <w:t>’</w:t>
      </w:r>
      <w:r w:rsidRPr="00C01637">
        <w:rPr>
          <w:lang w:val="fr-FR"/>
        </w:rPr>
        <w:t>article</w:t>
      </w:r>
      <w:r>
        <w:rPr>
          <w:lang w:val="fr-FR"/>
        </w:rPr>
        <w:t> </w:t>
      </w:r>
      <w:r w:rsidRPr="00C01637">
        <w:rPr>
          <w:lang w:val="fr-FR"/>
        </w:rPr>
        <w:t>16 § 2 précité, le premier décret du recteur avait appliqué une exclusion sans limites temporelles, ce qui paraissait illégitime.</w:t>
      </w:r>
    </w:p>
    <w:p w:rsidR="00786D0F" w:rsidRPr="00C01637" w:rsidRDefault="00786D0F" w:rsidP="00786D0F">
      <w:pPr>
        <w:pStyle w:val="ECHRPara"/>
        <w:rPr>
          <w:lang w:val="fr-FR"/>
        </w:rPr>
      </w:pPr>
      <w:r>
        <w:rPr>
          <w:lang w:val="fr-FR"/>
        </w:rPr>
        <w:t>15</w:t>
      </w:r>
      <w:r w:rsidRPr="00C01637">
        <w:rPr>
          <w:lang w:val="fr-FR"/>
        </w:rPr>
        <w:t>.  Le requérant interjeta appel contre l</w:t>
      </w:r>
      <w:r w:rsidR="00B42F86">
        <w:rPr>
          <w:lang w:val="fr-FR"/>
        </w:rPr>
        <w:t>’</w:t>
      </w:r>
      <w:r w:rsidRPr="00C01637">
        <w:rPr>
          <w:lang w:val="fr-FR"/>
        </w:rPr>
        <w:t>ordonnance du TAR. Par une décision du 25 juin 2010, le Conseil d</w:t>
      </w:r>
      <w:r w:rsidR="00B42F86">
        <w:rPr>
          <w:lang w:val="fr-FR"/>
        </w:rPr>
        <w:t>’</w:t>
      </w:r>
      <w:r w:rsidRPr="00C01637">
        <w:rPr>
          <w:lang w:val="fr-FR"/>
        </w:rPr>
        <w:t>État rejeta cet appel. Il observa que dans l</w:t>
      </w:r>
      <w:r w:rsidR="00B42F86">
        <w:rPr>
          <w:lang w:val="fr-FR"/>
        </w:rPr>
        <w:t>’</w:t>
      </w:r>
      <w:r w:rsidRPr="00C01637">
        <w:rPr>
          <w:lang w:val="fr-FR"/>
        </w:rPr>
        <w:t>attente de la décision sur le bien-fondé du recours du requérant, il était opportun de maintenir la situation existante.</w:t>
      </w:r>
    </w:p>
    <w:p w:rsidR="00786D0F" w:rsidRPr="00C01637" w:rsidRDefault="00786D0F" w:rsidP="00786D0F">
      <w:pPr>
        <w:pStyle w:val="ECHRHeading3"/>
        <w:rPr>
          <w:lang w:val="fr-FR"/>
        </w:rPr>
      </w:pPr>
      <w:r w:rsidRPr="00C01637">
        <w:rPr>
          <w:lang w:val="fr-FR"/>
        </w:rPr>
        <w:t>3.  L</w:t>
      </w:r>
      <w:r w:rsidR="00B42F86">
        <w:rPr>
          <w:lang w:val="fr-FR"/>
        </w:rPr>
        <w:t>’</w:t>
      </w:r>
      <w:r w:rsidRPr="00C01637">
        <w:rPr>
          <w:lang w:val="fr-FR"/>
        </w:rPr>
        <w:t>adoption du deuxième décret du recteur</w:t>
      </w:r>
    </w:p>
    <w:p w:rsidR="00786D0F" w:rsidRPr="00C01637" w:rsidRDefault="00786D0F" w:rsidP="00786D0F">
      <w:pPr>
        <w:pStyle w:val="ECHRPara"/>
        <w:rPr>
          <w:lang w:val="fr-FR"/>
        </w:rPr>
      </w:pPr>
      <w:r>
        <w:rPr>
          <w:lang w:val="fr-FR"/>
        </w:rPr>
        <w:t>16</w:t>
      </w:r>
      <w:r w:rsidRPr="00C01637">
        <w:rPr>
          <w:lang w:val="fr-FR"/>
        </w:rPr>
        <w:t>.  Entre-temps, le 7 décembre 2009, le requérant avait été réadmis à l</w:t>
      </w:r>
      <w:r w:rsidR="00B42F86">
        <w:rPr>
          <w:lang w:val="fr-FR"/>
        </w:rPr>
        <w:t>’</w:t>
      </w:r>
      <w:r w:rsidRPr="00C01637">
        <w:rPr>
          <w:lang w:val="fr-FR"/>
        </w:rPr>
        <w:t>université.</w:t>
      </w:r>
    </w:p>
    <w:p w:rsidR="00786D0F" w:rsidRPr="00C01637" w:rsidRDefault="00786D0F" w:rsidP="00786D0F">
      <w:pPr>
        <w:pStyle w:val="ECHRPara"/>
        <w:rPr>
          <w:lang w:val="fr-FR"/>
        </w:rPr>
      </w:pPr>
      <w:bookmarkStart w:id="9" w:name="riunionecommdisc922010"/>
      <w:r>
        <w:rPr>
          <w:lang w:val="fr-FR"/>
        </w:rPr>
        <w:t>17</w:t>
      </w:r>
      <w:bookmarkEnd w:id="9"/>
      <w:r w:rsidRPr="00C01637">
        <w:rPr>
          <w:lang w:val="fr-FR"/>
        </w:rPr>
        <w:t>.  Le 2 février 2010, le recteur de l</w:t>
      </w:r>
      <w:r w:rsidR="00B42F86">
        <w:rPr>
          <w:lang w:val="fr-FR"/>
        </w:rPr>
        <w:t>’</w:t>
      </w:r>
      <w:r w:rsidRPr="00C01637">
        <w:rPr>
          <w:lang w:val="fr-FR"/>
        </w:rPr>
        <w:t>université de Naples décida de convoquer à nouveau la commission de discipline, et ce afin de fixer les limites temporelles de la sanction disciplinaire dont le requérant avait fait l</w:t>
      </w:r>
      <w:r w:rsidR="00B42F86">
        <w:rPr>
          <w:lang w:val="fr-FR"/>
        </w:rPr>
        <w:t>’</w:t>
      </w:r>
      <w:r w:rsidRPr="00C01637">
        <w:rPr>
          <w:lang w:val="fr-FR"/>
        </w:rPr>
        <w:t xml:space="preserve">objet. La commission de discipline se réunit le 9 février 2010. Le requérant ne fut pas invité à participer à cette réunion. Se référant à la motivation de sa délibération du 17 juin 2009 (paragraphe </w:t>
      </w:r>
      <w:r>
        <w:rPr>
          <w:lang w:val="fr-FR"/>
        </w:rPr>
        <w:t>11</w:t>
      </w:r>
      <w:r w:rsidRPr="00C01637">
        <w:rPr>
          <w:lang w:val="fr-FR"/>
        </w:rPr>
        <w:t xml:space="preserve"> ci-dessus) et à l</w:t>
      </w:r>
      <w:r w:rsidR="00B42F86">
        <w:rPr>
          <w:lang w:val="fr-FR"/>
        </w:rPr>
        <w:t>’</w:t>
      </w:r>
      <w:r w:rsidRPr="00C01637">
        <w:rPr>
          <w:lang w:val="fr-FR"/>
        </w:rPr>
        <w:t>article 16 du décret-loi royal n</w:t>
      </w:r>
      <w:r w:rsidR="0092451F" w:rsidRPr="0092451F">
        <w:rPr>
          <w:vertAlign w:val="superscript"/>
          <w:lang w:val="fr-FR"/>
        </w:rPr>
        <w:t>o</w:t>
      </w:r>
      <w:r w:rsidRPr="00C01637">
        <w:rPr>
          <w:lang w:val="fr-FR"/>
        </w:rPr>
        <w:t xml:space="preserve"> 1071 de 1935 (paragraphe </w:t>
      </w:r>
      <w:r>
        <w:rPr>
          <w:lang w:val="fr-FR"/>
        </w:rPr>
        <w:t>28</w:t>
      </w:r>
      <w:r w:rsidRPr="00C01637">
        <w:rPr>
          <w:lang w:val="fr-FR"/>
        </w:rPr>
        <w:t xml:space="preserve"> ci-après), la commission de discipline proposa d</w:t>
      </w:r>
      <w:r w:rsidR="00B42F86">
        <w:rPr>
          <w:lang w:val="fr-FR"/>
        </w:rPr>
        <w:t>’</w:t>
      </w:r>
      <w:r w:rsidRPr="00C01637">
        <w:rPr>
          <w:lang w:val="fr-FR"/>
        </w:rPr>
        <w:t>infliger au requérant la sanction disciplinaire de l</w:t>
      </w:r>
      <w:r w:rsidR="00B42F86">
        <w:rPr>
          <w:lang w:val="fr-FR"/>
        </w:rPr>
        <w:t>’</w:t>
      </w:r>
      <w:r w:rsidRPr="00C01637">
        <w:rPr>
          <w:lang w:val="fr-FR"/>
        </w:rPr>
        <w:t>exclusion de l</w:t>
      </w:r>
      <w:r w:rsidR="00B42F86">
        <w:rPr>
          <w:lang w:val="fr-FR"/>
        </w:rPr>
        <w:t>’</w:t>
      </w:r>
      <w:r w:rsidRPr="00C01637">
        <w:rPr>
          <w:lang w:val="fr-FR"/>
        </w:rPr>
        <w:t>université pour une durée de trois ans.</w:t>
      </w:r>
    </w:p>
    <w:p w:rsidR="00786D0F" w:rsidRPr="00C01637" w:rsidRDefault="00786D0F" w:rsidP="00786D0F">
      <w:pPr>
        <w:pStyle w:val="ECHRPara"/>
        <w:rPr>
          <w:lang w:val="fr-FR"/>
        </w:rPr>
      </w:pPr>
      <w:bookmarkStart w:id="10" w:name="secondodecretorettore"/>
      <w:r>
        <w:rPr>
          <w:lang w:val="fr-FR"/>
        </w:rPr>
        <w:t>18</w:t>
      </w:r>
      <w:bookmarkEnd w:id="10"/>
      <w:r w:rsidRPr="00C01637">
        <w:rPr>
          <w:lang w:val="fr-FR"/>
        </w:rPr>
        <w:t>.  Par un décret n</w:t>
      </w:r>
      <w:r w:rsidR="0092451F" w:rsidRPr="0092451F">
        <w:rPr>
          <w:vertAlign w:val="superscript"/>
          <w:lang w:val="fr-FR"/>
        </w:rPr>
        <w:t>o</w:t>
      </w:r>
      <w:r w:rsidRPr="00C01637">
        <w:rPr>
          <w:lang w:val="fr-FR"/>
        </w:rPr>
        <w:t xml:space="preserve"> 242 du 17 février 2010 (ci-après, le « deuxième décret du recteur »), le recteur de l</w:t>
      </w:r>
      <w:r w:rsidR="00B42F86">
        <w:rPr>
          <w:lang w:val="fr-FR"/>
        </w:rPr>
        <w:t>’</w:t>
      </w:r>
      <w:r w:rsidRPr="00C01637">
        <w:rPr>
          <w:lang w:val="fr-FR"/>
        </w:rPr>
        <w:t>université de Naples infligea au requérant la sanction proposée par la commission de discipline.</w:t>
      </w:r>
    </w:p>
    <w:p w:rsidR="00786D0F" w:rsidRPr="00C01637" w:rsidRDefault="00786D0F" w:rsidP="00786D0F">
      <w:pPr>
        <w:pStyle w:val="ECHRPara"/>
        <w:rPr>
          <w:lang w:val="fr-FR"/>
        </w:rPr>
      </w:pPr>
      <w:bookmarkStart w:id="11" w:name="seocndoricorsoTAR"/>
      <w:r>
        <w:rPr>
          <w:lang w:val="fr-FR"/>
        </w:rPr>
        <w:t>19</w:t>
      </w:r>
      <w:bookmarkEnd w:id="11"/>
      <w:r w:rsidRPr="00C01637">
        <w:rPr>
          <w:lang w:val="fr-FR"/>
        </w:rPr>
        <w:t>.  Le requérant introduisit alors un nouveau recours devant le TAR. Il demanda l</w:t>
      </w:r>
      <w:r w:rsidR="00B42F86">
        <w:rPr>
          <w:lang w:val="fr-FR"/>
        </w:rPr>
        <w:t>’</w:t>
      </w:r>
      <w:r w:rsidRPr="00C01637">
        <w:rPr>
          <w:lang w:val="fr-FR"/>
        </w:rPr>
        <w:t>annulation du deuxième décret du recteur et la réparation des dommages subis.</w:t>
      </w:r>
    </w:p>
    <w:p w:rsidR="00786D0F" w:rsidRPr="00C01637" w:rsidRDefault="00786D0F" w:rsidP="00786D0F">
      <w:pPr>
        <w:pStyle w:val="ECHRHeading3"/>
        <w:rPr>
          <w:lang w:val="fr-FR"/>
        </w:rPr>
      </w:pPr>
      <w:r w:rsidRPr="00C01637">
        <w:rPr>
          <w:lang w:val="fr-FR"/>
        </w:rPr>
        <w:t>4.  Le jugement du TAR</w:t>
      </w:r>
    </w:p>
    <w:p w:rsidR="00786D0F" w:rsidRPr="00C01637" w:rsidRDefault="00786D0F" w:rsidP="00786D0F">
      <w:pPr>
        <w:pStyle w:val="ECHRPara"/>
        <w:rPr>
          <w:lang w:val="fr-FR"/>
        </w:rPr>
      </w:pPr>
      <w:r>
        <w:rPr>
          <w:lang w:val="fr-FR"/>
        </w:rPr>
        <w:t>20</w:t>
      </w:r>
      <w:r w:rsidRPr="00C01637">
        <w:rPr>
          <w:lang w:val="fr-FR"/>
        </w:rPr>
        <w:t>.  Par un jugement n</w:t>
      </w:r>
      <w:r w:rsidR="0092451F" w:rsidRPr="0092451F">
        <w:rPr>
          <w:vertAlign w:val="superscript"/>
          <w:lang w:val="fr-FR"/>
        </w:rPr>
        <w:t>o</w:t>
      </w:r>
      <w:r w:rsidRPr="00C01637">
        <w:rPr>
          <w:lang w:val="fr-FR"/>
        </w:rPr>
        <w:t xml:space="preserve"> 22679 de 2010, le TAR de la Campanie déclara irrecevable (</w:t>
      </w:r>
      <w:r w:rsidRPr="00C01637">
        <w:rPr>
          <w:i/>
          <w:lang w:val="fr-FR"/>
        </w:rPr>
        <w:t>improcedibile</w:t>
      </w:r>
      <w:r w:rsidRPr="00C01637">
        <w:rPr>
          <w:lang w:val="fr-FR"/>
        </w:rPr>
        <w:t>) pour manque d</w:t>
      </w:r>
      <w:r w:rsidR="00B42F86">
        <w:rPr>
          <w:lang w:val="fr-FR"/>
        </w:rPr>
        <w:t>’</w:t>
      </w:r>
      <w:r w:rsidRPr="00C01637">
        <w:rPr>
          <w:lang w:val="fr-FR"/>
        </w:rPr>
        <w:t xml:space="preserve">intérêt le recours en annulation contre le premier décret du recteur (paragraphes </w:t>
      </w:r>
      <w:r>
        <w:rPr>
          <w:lang w:val="fr-FR"/>
        </w:rPr>
        <w:t>12</w:t>
      </w:r>
      <w:r w:rsidRPr="00C01637">
        <w:rPr>
          <w:lang w:val="fr-FR"/>
        </w:rPr>
        <w:t>-</w:t>
      </w:r>
      <w:r>
        <w:rPr>
          <w:lang w:val="fr-FR"/>
        </w:rPr>
        <w:t>13</w:t>
      </w:r>
      <w:r w:rsidRPr="00C01637">
        <w:rPr>
          <w:lang w:val="fr-FR"/>
        </w:rPr>
        <w:t xml:space="preserve"> ci-dessus), et rejeta le recours en annulation contre le deuxième (paragraphes </w:t>
      </w:r>
      <w:r>
        <w:rPr>
          <w:lang w:val="fr-FR"/>
        </w:rPr>
        <w:t>18</w:t>
      </w:r>
      <w:r w:rsidRPr="00C01637">
        <w:rPr>
          <w:lang w:val="fr-FR"/>
        </w:rPr>
        <w:t>-</w:t>
      </w:r>
      <w:r>
        <w:rPr>
          <w:lang w:val="fr-FR"/>
        </w:rPr>
        <w:t>19</w:t>
      </w:r>
      <w:r w:rsidRPr="00C01637">
        <w:rPr>
          <w:lang w:val="fr-FR"/>
        </w:rPr>
        <w:t xml:space="preserve"> ci-dessus). Le requérant n</w:t>
      </w:r>
      <w:r w:rsidR="00B42F86">
        <w:rPr>
          <w:lang w:val="fr-FR"/>
        </w:rPr>
        <w:t>’</w:t>
      </w:r>
      <w:r w:rsidRPr="00C01637">
        <w:rPr>
          <w:lang w:val="fr-FR"/>
        </w:rPr>
        <w:t>a pas produit devant la Cour une copie d</w:t>
      </w:r>
      <w:r>
        <w:rPr>
          <w:lang w:val="fr-FR"/>
        </w:rPr>
        <w:t>e ce</w:t>
      </w:r>
      <w:r w:rsidRPr="00C01637">
        <w:rPr>
          <w:lang w:val="fr-FR"/>
        </w:rPr>
        <w:t xml:space="preserve"> jugement.</w:t>
      </w:r>
    </w:p>
    <w:p w:rsidR="0092451F" w:rsidRDefault="00786D0F" w:rsidP="00786D0F">
      <w:pPr>
        <w:pStyle w:val="ECHRHeading3"/>
        <w:rPr>
          <w:lang w:val="fr-FR"/>
        </w:rPr>
      </w:pPr>
      <w:r w:rsidRPr="00C01637">
        <w:rPr>
          <w:lang w:val="fr-FR"/>
        </w:rPr>
        <w:t>5.  L</w:t>
      </w:r>
      <w:r w:rsidR="00B42F86">
        <w:rPr>
          <w:lang w:val="fr-FR"/>
        </w:rPr>
        <w:t>’</w:t>
      </w:r>
      <w:r w:rsidRPr="00C01637">
        <w:rPr>
          <w:lang w:val="fr-FR"/>
        </w:rPr>
        <w:t>appel devant le Conseil d</w:t>
      </w:r>
      <w:r w:rsidR="00B42F86">
        <w:rPr>
          <w:lang w:val="fr-FR"/>
        </w:rPr>
        <w:t>’</w:t>
      </w:r>
      <w:r w:rsidRPr="00C01637">
        <w:rPr>
          <w:lang w:val="fr-FR"/>
        </w:rPr>
        <w:t>État</w:t>
      </w:r>
    </w:p>
    <w:p w:rsidR="0092451F" w:rsidRDefault="00786D0F" w:rsidP="00786D0F">
      <w:pPr>
        <w:pStyle w:val="ECHRPara"/>
        <w:rPr>
          <w:lang w:val="fr-FR"/>
        </w:rPr>
      </w:pPr>
      <w:r>
        <w:rPr>
          <w:lang w:val="fr-FR"/>
        </w:rPr>
        <w:t>21</w:t>
      </w:r>
      <w:r w:rsidRPr="00C01637">
        <w:rPr>
          <w:lang w:val="fr-FR"/>
        </w:rPr>
        <w:t>.  Le requérant interjeta appel. Il allégua, entre autres, que la procédure devant la commission de discipline n</w:t>
      </w:r>
      <w:r w:rsidR="00B42F86">
        <w:rPr>
          <w:lang w:val="fr-FR"/>
        </w:rPr>
        <w:t>’</w:t>
      </w:r>
      <w:r w:rsidRPr="00C01637">
        <w:rPr>
          <w:lang w:val="fr-FR"/>
        </w:rPr>
        <w:t>avait pas été équitable, que les droits de la défense avaient été violés et que la décision de lui infliger la sanction de l</w:t>
      </w:r>
      <w:r w:rsidR="00B42F86">
        <w:rPr>
          <w:lang w:val="fr-FR"/>
        </w:rPr>
        <w:t>’</w:t>
      </w:r>
      <w:r w:rsidRPr="00C01637">
        <w:rPr>
          <w:lang w:val="fr-FR"/>
        </w:rPr>
        <w:t>exclusion n</w:t>
      </w:r>
      <w:r w:rsidR="00B42F86">
        <w:rPr>
          <w:lang w:val="fr-FR"/>
        </w:rPr>
        <w:t>’</w:t>
      </w:r>
      <w:r w:rsidRPr="00C01637">
        <w:rPr>
          <w:lang w:val="fr-FR"/>
        </w:rPr>
        <w:t>avait pas été dûment motivée, qu</w:t>
      </w:r>
      <w:r w:rsidR="00B42F86">
        <w:rPr>
          <w:lang w:val="fr-FR"/>
        </w:rPr>
        <w:t>’</w:t>
      </w:r>
      <w:r w:rsidRPr="00C01637">
        <w:rPr>
          <w:lang w:val="fr-FR"/>
        </w:rPr>
        <w:t>elle se fondait sur des erreurs de fait et de droit et s</w:t>
      </w:r>
      <w:r w:rsidR="00B42F86">
        <w:rPr>
          <w:lang w:val="fr-FR"/>
        </w:rPr>
        <w:t>’</w:t>
      </w:r>
      <w:r w:rsidRPr="00C01637">
        <w:rPr>
          <w:lang w:val="fr-FR"/>
        </w:rPr>
        <w:t>analysait en un excès de pouvoir.</w:t>
      </w:r>
    </w:p>
    <w:p w:rsidR="00786D0F" w:rsidRPr="00C01637" w:rsidRDefault="00786D0F" w:rsidP="00786D0F">
      <w:pPr>
        <w:pStyle w:val="ECHRPara"/>
        <w:rPr>
          <w:lang w:val="fr-FR"/>
        </w:rPr>
      </w:pPr>
      <w:r>
        <w:rPr>
          <w:lang w:val="fr-FR"/>
        </w:rPr>
        <w:t>22</w:t>
      </w:r>
      <w:r w:rsidRPr="00C01637">
        <w:rPr>
          <w:lang w:val="fr-FR"/>
        </w:rPr>
        <w:t>.  L</w:t>
      </w:r>
      <w:r w:rsidR="00B42F86">
        <w:rPr>
          <w:lang w:val="fr-FR"/>
        </w:rPr>
        <w:t>’</w:t>
      </w:r>
      <w:r w:rsidRPr="00C01637">
        <w:rPr>
          <w:lang w:val="fr-FR"/>
        </w:rPr>
        <w:t>intéressé demanda à nouveau le sursis de l</w:t>
      </w:r>
      <w:r w:rsidR="00B42F86">
        <w:rPr>
          <w:lang w:val="fr-FR"/>
        </w:rPr>
        <w:t>’</w:t>
      </w:r>
      <w:r w:rsidRPr="00C01637">
        <w:rPr>
          <w:lang w:val="fr-FR"/>
        </w:rPr>
        <w:t>exécution des décrets du recteur. Par une ordonnance du 2 mars 2011, le Conseil d</w:t>
      </w:r>
      <w:r w:rsidR="00B42F86">
        <w:rPr>
          <w:lang w:val="fr-FR"/>
        </w:rPr>
        <w:t>’</w:t>
      </w:r>
      <w:r w:rsidRPr="00C01637">
        <w:rPr>
          <w:lang w:val="fr-FR"/>
        </w:rPr>
        <w:t xml:space="preserve">État rejeta cette demande. Il observa notamment que les doléances du requérant </w:t>
      </w:r>
      <w:r w:rsidRPr="00C01637">
        <w:rPr>
          <w:lang w:val="fr-FR"/>
        </w:rPr>
        <w:lastRenderedPageBreak/>
        <w:t xml:space="preserve">paraissaient </w:t>
      </w:r>
      <w:r w:rsidRPr="00C01637">
        <w:rPr>
          <w:i/>
          <w:lang w:val="fr-FR"/>
        </w:rPr>
        <w:t xml:space="preserve">prima facie </w:t>
      </w:r>
      <w:r w:rsidRPr="00C01637">
        <w:rPr>
          <w:lang w:val="fr-FR"/>
        </w:rPr>
        <w:t>mal fondées et que le recteur semblait avoir dûment évalué la gravité de la conduite reprochée à l</w:t>
      </w:r>
      <w:r w:rsidR="00B42F86">
        <w:rPr>
          <w:lang w:val="fr-FR"/>
        </w:rPr>
        <w:t>’</w:t>
      </w:r>
      <w:r w:rsidRPr="00C01637">
        <w:rPr>
          <w:lang w:val="fr-FR"/>
        </w:rPr>
        <w:t>intéressé.</w:t>
      </w:r>
    </w:p>
    <w:p w:rsidR="0092451F" w:rsidRDefault="00786D0F" w:rsidP="00786D0F">
      <w:pPr>
        <w:pStyle w:val="ECHRPara"/>
        <w:rPr>
          <w:lang w:val="fr-FR"/>
        </w:rPr>
      </w:pPr>
      <w:bookmarkStart w:id="12" w:name="sentenzaCStato"/>
      <w:r>
        <w:rPr>
          <w:lang w:val="fr-FR"/>
        </w:rPr>
        <w:t>23</w:t>
      </w:r>
      <w:bookmarkEnd w:id="12"/>
      <w:r w:rsidRPr="00C01637">
        <w:rPr>
          <w:lang w:val="fr-FR"/>
        </w:rPr>
        <w:t>.  Par un arrêt du 26 juin 2012, dont le texte fut déposé au greffe le 5 mars 2013, le Conseil d</w:t>
      </w:r>
      <w:r w:rsidR="00B42F86">
        <w:rPr>
          <w:lang w:val="fr-FR"/>
        </w:rPr>
        <w:t>’</w:t>
      </w:r>
      <w:r w:rsidRPr="00C01637">
        <w:rPr>
          <w:lang w:val="fr-FR"/>
        </w:rPr>
        <w:t>État rejeta l</w:t>
      </w:r>
      <w:r w:rsidR="00B42F86">
        <w:rPr>
          <w:lang w:val="fr-FR"/>
        </w:rPr>
        <w:t>’</w:t>
      </w:r>
      <w:r w:rsidRPr="00C01637">
        <w:rPr>
          <w:lang w:val="fr-FR"/>
        </w:rPr>
        <w:t>appel du requérant.</w:t>
      </w:r>
    </w:p>
    <w:p w:rsidR="0092451F" w:rsidRDefault="00786D0F" w:rsidP="00786D0F">
      <w:pPr>
        <w:pStyle w:val="ECHRPara"/>
        <w:rPr>
          <w:lang w:val="fr-FR"/>
        </w:rPr>
      </w:pPr>
      <w:bookmarkStart w:id="13" w:name="CStatoobjetdeuxiemeprocedure"/>
      <w:r>
        <w:rPr>
          <w:lang w:val="fr-FR"/>
        </w:rPr>
        <w:t>24</w:t>
      </w:r>
      <w:bookmarkEnd w:id="13"/>
      <w:r w:rsidRPr="00C01637">
        <w:rPr>
          <w:lang w:val="fr-FR"/>
        </w:rPr>
        <w:t>.  Le Conseil d</w:t>
      </w:r>
      <w:r w:rsidR="00B42F86">
        <w:rPr>
          <w:lang w:val="fr-FR"/>
        </w:rPr>
        <w:t>’</w:t>
      </w:r>
      <w:r w:rsidRPr="00C01637">
        <w:rPr>
          <w:lang w:val="fr-FR"/>
        </w:rPr>
        <w:t>État observa tout d</w:t>
      </w:r>
      <w:r w:rsidR="00B42F86">
        <w:rPr>
          <w:lang w:val="fr-FR"/>
        </w:rPr>
        <w:t>’</w:t>
      </w:r>
      <w:r w:rsidRPr="00C01637">
        <w:rPr>
          <w:lang w:val="fr-FR"/>
        </w:rPr>
        <w:t>abord que le deuxième décret du recteur se référait explicitement à l</w:t>
      </w:r>
      <w:r w:rsidR="00B42F86">
        <w:rPr>
          <w:lang w:val="fr-FR"/>
        </w:rPr>
        <w:t>’</w:t>
      </w:r>
      <w:r w:rsidRPr="00C01637">
        <w:rPr>
          <w:lang w:val="fr-FR"/>
        </w:rPr>
        <w:t>ordonnance du TAR du 28 octobre 2009 (paragraphe </w:t>
      </w:r>
      <w:r>
        <w:rPr>
          <w:lang w:val="fr-FR"/>
        </w:rPr>
        <w:t>14</w:t>
      </w:r>
      <w:r w:rsidRPr="00C01637">
        <w:rPr>
          <w:lang w:val="fr-FR"/>
        </w:rPr>
        <w:t xml:space="preserve"> ci-dessus), et que la commission de discipline avait été convoquée afin de « préciser la durée » de la sanction infligée au requérant. Il ressortait donc du dossier que l</w:t>
      </w:r>
      <w:r w:rsidR="00B42F86">
        <w:rPr>
          <w:lang w:val="fr-FR"/>
        </w:rPr>
        <w:t>’</w:t>
      </w:r>
      <w:r w:rsidRPr="00C01637">
        <w:rPr>
          <w:lang w:val="fr-FR"/>
        </w:rPr>
        <w:t>université de Naples partageait l</w:t>
      </w:r>
      <w:r w:rsidR="00B42F86">
        <w:rPr>
          <w:lang w:val="fr-FR"/>
        </w:rPr>
        <w:t>’</w:t>
      </w:r>
      <w:r w:rsidRPr="00C01637">
        <w:rPr>
          <w:lang w:val="fr-FR"/>
        </w:rPr>
        <w:t>opinion du TAR selon laquelle une exclusion de durée indéterminée n</w:t>
      </w:r>
      <w:r w:rsidR="00B42F86">
        <w:rPr>
          <w:lang w:val="fr-FR"/>
        </w:rPr>
        <w:t>’</w:t>
      </w:r>
      <w:r w:rsidRPr="00C01637">
        <w:rPr>
          <w:lang w:val="fr-FR"/>
        </w:rPr>
        <w:t>était pas conforme à la loi. Le deuxième décret du recteur ayant remplacé le premier, le requérant n</w:t>
      </w:r>
      <w:r w:rsidR="00B42F86">
        <w:rPr>
          <w:lang w:val="fr-FR"/>
        </w:rPr>
        <w:t>’</w:t>
      </w:r>
      <w:r w:rsidRPr="00C01637">
        <w:rPr>
          <w:lang w:val="fr-FR"/>
        </w:rPr>
        <w:t>avait plus intérêt à obtenir l</w:t>
      </w:r>
      <w:r w:rsidR="00B42F86">
        <w:rPr>
          <w:lang w:val="fr-FR"/>
        </w:rPr>
        <w:t>’</w:t>
      </w:r>
      <w:r w:rsidRPr="00C01637">
        <w:rPr>
          <w:lang w:val="fr-FR"/>
        </w:rPr>
        <w:t>annulation d</w:t>
      </w:r>
      <w:r>
        <w:rPr>
          <w:lang w:val="fr-FR"/>
        </w:rPr>
        <w:t>u premier décret</w:t>
      </w:r>
      <w:r w:rsidRPr="00C01637">
        <w:rPr>
          <w:lang w:val="fr-FR"/>
        </w:rPr>
        <w:t>, qui avait affecté ses droits pour une durée bien inférieure à trois ans.</w:t>
      </w:r>
    </w:p>
    <w:p w:rsidR="00786D0F" w:rsidRPr="00C01637" w:rsidRDefault="00786D0F" w:rsidP="00786D0F">
      <w:pPr>
        <w:pStyle w:val="ECHRPara"/>
        <w:rPr>
          <w:lang w:val="fr-FR"/>
        </w:rPr>
      </w:pPr>
      <w:bookmarkStart w:id="14" w:name="CStatoricorrentehapotutodifendersi"/>
      <w:r>
        <w:rPr>
          <w:lang w:val="fr-FR"/>
        </w:rPr>
        <w:t>25</w:t>
      </w:r>
      <w:bookmarkEnd w:id="14"/>
      <w:r w:rsidRPr="00C01637">
        <w:rPr>
          <w:lang w:val="fr-FR"/>
        </w:rPr>
        <w:t>.  Dans la mesure où le requérant se plaignait du fait que le deuxième décret du recteur avait été adopté sans rouvrir l</w:t>
      </w:r>
      <w:r w:rsidR="00B42F86">
        <w:rPr>
          <w:lang w:val="fr-FR"/>
        </w:rPr>
        <w:t>’</w:t>
      </w:r>
      <w:r w:rsidRPr="00C01637">
        <w:rPr>
          <w:lang w:val="fr-FR"/>
        </w:rPr>
        <w:t>instruction de l</w:t>
      </w:r>
      <w:r w:rsidR="00B42F86">
        <w:rPr>
          <w:lang w:val="fr-FR"/>
        </w:rPr>
        <w:t>’</w:t>
      </w:r>
      <w:r w:rsidRPr="00C01637">
        <w:rPr>
          <w:lang w:val="fr-FR"/>
        </w:rPr>
        <w:t>affaire et sans</w:t>
      </w:r>
      <w:r>
        <w:rPr>
          <w:lang w:val="fr-FR"/>
        </w:rPr>
        <w:t xml:space="preserve"> lui</w:t>
      </w:r>
      <w:r w:rsidRPr="00C01637">
        <w:rPr>
          <w:lang w:val="fr-FR"/>
        </w:rPr>
        <w:t xml:space="preserve"> donner une nouvelle possibilité de participer à la procédure, le Conseil d</w:t>
      </w:r>
      <w:r w:rsidR="00B42F86">
        <w:rPr>
          <w:lang w:val="fr-FR"/>
        </w:rPr>
        <w:t>’</w:t>
      </w:r>
      <w:r w:rsidRPr="00C01637">
        <w:rPr>
          <w:lang w:val="fr-FR"/>
        </w:rPr>
        <w:t>État observa qu</w:t>
      </w:r>
      <w:r w:rsidR="00B42F86">
        <w:rPr>
          <w:lang w:val="fr-FR"/>
        </w:rPr>
        <w:t>’</w:t>
      </w:r>
      <w:r w:rsidRPr="00C01637">
        <w:rPr>
          <w:lang w:val="fr-FR"/>
        </w:rPr>
        <w:t>il était légitime de « conserver » les actes accomplis dans le cadre de l</w:t>
      </w:r>
      <w:r w:rsidR="00B42F86">
        <w:rPr>
          <w:lang w:val="fr-FR"/>
        </w:rPr>
        <w:t>’</w:t>
      </w:r>
      <w:r w:rsidRPr="00C01637">
        <w:rPr>
          <w:lang w:val="fr-FR"/>
        </w:rPr>
        <w:t>adoption du premier décret du recteur. En effet, la deuxième procédure visait uniquement à remédier au vice, relevé par le TAR, concernant la durée de la sanction. Puisque les autres actes de la première procédure n</w:t>
      </w:r>
      <w:r w:rsidR="00B42F86">
        <w:rPr>
          <w:lang w:val="fr-FR"/>
        </w:rPr>
        <w:t>’</w:t>
      </w:r>
      <w:r w:rsidRPr="00C01637">
        <w:rPr>
          <w:lang w:val="fr-FR"/>
        </w:rPr>
        <w:t>étaient pas irréguliers, une réouverture de l</w:t>
      </w:r>
      <w:r w:rsidR="00B42F86">
        <w:rPr>
          <w:lang w:val="fr-FR"/>
        </w:rPr>
        <w:t>’</w:t>
      </w:r>
      <w:r w:rsidRPr="00C01637">
        <w:rPr>
          <w:lang w:val="fr-FR"/>
        </w:rPr>
        <w:t>instruction aurait été incompatible avec les principes de l</w:t>
      </w:r>
      <w:r w:rsidR="00B42F86">
        <w:rPr>
          <w:lang w:val="fr-FR"/>
        </w:rPr>
        <w:t>’</w:t>
      </w:r>
      <w:r w:rsidRPr="00C01637">
        <w:rPr>
          <w:lang w:val="fr-FR"/>
        </w:rPr>
        <w:t>économie et de la rapidité de l</w:t>
      </w:r>
      <w:r w:rsidR="00B42F86">
        <w:rPr>
          <w:lang w:val="fr-FR"/>
        </w:rPr>
        <w:t>’</w:t>
      </w:r>
      <w:r w:rsidRPr="00C01637">
        <w:rPr>
          <w:lang w:val="fr-FR"/>
        </w:rPr>
        <w:t>action administrative. En tout état de cause, le requérant avait été informé en temps utile de la fixation de la réunion de commission de discipline du 9 février 2010 et de son objet. Même s</w:t>
      </w:r>
      <w:r w:rsidR="00B42F86">
        <w:rPr>
          <w:lang w:val="fr-FR"/>
        </w:rPr>
        <w:t>’</w:t>
      </w:r>
      <w:r w:rsidRPr="00C01637">
        <w:rPr>
          <w:lang w:val="fr-FR"/>
        </w:rPr>
        <w:t>il n</w:t>
      </w:r>
      <w:r w:rsidR="00B42F86">
        <w:rPr>
          <w:lang w:val="fr-FR"/>
        </w:rPr>
        <w:t>’</w:t>
      </w:r>
      <w:r w:rsidRPr="00C01637">
        <w:rPr>
          <w:lang w:val="fr-FR"/>
        </w:rPr>
        <w:t xml:space="preserve">avait pas été formellement invité à y participer (paragraphe </w:t>
      </w:r>
      <w:r>
        <w:rPr>
          <w:lang w:val="fr-FR"/>
        </w:rPr>
        <w:t>17</w:t>
      </w:r>
      <w:r w:rsidRPr="00C01637">
        <w:rPr>
          <w:lang w:val="fr-FR"/>
        </w:rPr>
        <w:t xml:space="preserve"> ci-dessus), le requérant </w:t>
      </w:r>
      <w:r>
        <w:rPr>
          <w:lang w:val="fr-FR"/>
        </w:rPr>
        <w:t>gardait la possibilité d</w:t>
      </w:r>
      <w:r w:rsidR="00B42F86">
        <w:rPr>
          <w:lang w:val="fr-FR"/>
        </w:rPr>
        <w:t>’</w:t>
      </w:r>
      <w:r>
        <w:rPr>
          <w:lang w:val="fr-FR"/>
        </w:rPr>
        <w:t>agir</w:t>
      </w:r>
      <w:r w:rsidRPr="00C01637">
        <w:rPr>
          <w:lang w:val="fr-FR"/>
        </w:rPr>
        <w:t xml:space="preserve"> pour présenter s</w:t>
      </w:r>
      <w:r>
        <w:rPr>
          <w:lang w:val="fr-FR"/>
        </w:rPr>
        <w:t>a</w:t>
      </w:r>
      <w:r w:rsidRPr="00C01637">
        <w:rPr>
          <w:lang w:val="fr-FR"/>
        </w:rPr>
        <w:t xml:space="preserve"> défense. De plus, de la durée de la sanction ne pouvait dépendre </w:t>
      </w:r>
      <w:r>
        <w:rPr>
          <w:lang w:val="fr-FR"/>
        </w:rPr>
        <w:t xml:space="preserve">que </w:t>
      </w:r>
      <w:r w:rsidRPr="00C01637">
        <w:rPr>
          <w:lang w:val="fr-FR"/>
        </w:rPr>
        <w:t>de la gravité de la conduite reprochée. Or, le requérant avait déjà exposé ses arguments à ce sujet dans le cadre de la première procédure.</w:t>
      </w:r>
    </w:p>
    <w:p w:rsidR="0092451F" w:rsidRDefault="00786D0F" w:rsidP="00786D0F">
      <w:pPr>
        <w:pStyle w:val="ECHRPara"/>
        <w:rPr>
          <w:lang w:val="fr-FR"/>
        </w:rPr>
      </w:pPr>
      <w:bookmarkStart w:id="15" w:name="CStatoW"/>
      <w:r>
        <w:rPr>
          <w:lang w:val="fr-FR"/>
        </w:rPr>
        <w:t>26</w:t>
      </w:r>
      <w:bookmarkEnd w:id="15"/>
      <w:r w:rsidRPr="00C01637">
        <w:rPr>
          <w:lang w:val="fr-FR"/>
        </w:rPr>
        <w:t>.  Le Conseil d</w:t>
      </w:r>
      <w:r w:rsidR="00B42F86">
        <w:rPr>
          <w:lang w:val="fr-FR"/>
        </w:rPr>
        <w:t>’</w:t>
      </w:r>
      <w:r w:rsidRPr="00C01637">
        <w:rPr>
          <w:lang w:val="fr-FR"/>
        </w:rPr>
        <w:t>État nota que le requérant se plaignait également de la composition de la commission de discipline. L</w:t>
      </w:r>
      <w:r w:rsidR="00B42F86">
        <w:rPr>
          <w:lang w:val="fr-FR"/>
        </w:rPr>
        <w:t>’</w:t>
      </w:r>
      <w:r w:rsidRPr="00C01637">
        <w:rPr>
          <w:lang w:val="fr-FR"/>
        </w:rPr>
        <w:t>intéressé alléguait en particulier que Z, qui siégeait au sein de la commission en tant que représentante des étudiants, avait obtenu son diplôme universitaire en décembre 2009 ; dès lors, elle ne possédait plus la qualité d</w:t>
      </w:r>
      <w:r w:rsidR="00B42F86">
        <w:rPr>
          <w:lang w:val="fr-FR"/>
        </w:rPr>
        <w:t>’</w:t>
      </w:r>
      <w:r w:rsidRPr="00C01637">
        <w:rPr>
          <w:lang w:val="fr-FR"/>
        </w:rPr>
        <w:t>« étudiante » en février 2010, lorsque la commission avait été à nouveau convoquée par le recteur. Le Conseil d</w:t>
      </w:r>
      <w:r w:rsidR="00B42F86">
        <w:rPr>
          <w:lang w:val="fr-FR"/>
        </w:rPr>
        <w:t>’</w:t>
      </w:r>
      <w:r w:rsidRPr="00C01637">
        <w:rPr>
          <w:lang w:val="fr-FR"/>
        </w:rPr>
        <w:t>État écarta cette doléance, observant qu</w:t>
      </w:r>
      <w:r w:rsidR="00B42F86">
        <w:rPr>
          <w:lang w:val="fr-FR"/>
        </w:rPr>
        <w:t>’</w:t>
      </w:r>
      <w:r w:rsidRPr="00C01637">
        <w:rPr>
          <w:lang w:val="fr-FR"/>
        </w:rPr>
        <w:t>il n</w:t>
      </w:r>
      <w:r w:rsidR="00B42F86">
        <w:rPr>
          <w:lang w:val="fr-FR"/>
        </w:rPr>
        <w:t>’</w:t>
      </w:r>
      <w:r w:rsidRPr="00C01637">
        <w:rPr>
          <w:lang w:val="fr-FR"/>
        </w:rPr>
        <w:t>était pas contesté que la commission nommée en mars 2009 était régulièrement constituée. Or, les fonctions de celle-ci n</w:t>
      </w:r>
      <w:r w:rsidR="00B42F86">
        <w:rPr>
          <w:lang w:val="fr-FR"/>
        </w:rPr>
        <w:t>’</w:t>
      </w:r>
      <w:r w:rsidRPr="00C01637">
        <w:rPr>
          <w:lang w:val="fr-FR"/>
        </w:rPr>
        <w:t>étaient pas terminées lors de l</w:t>
      </w:r>
      <w:r w:rsidR="00B42F86">
        <w:rPr>
          <w:lang w:val="fr-FR"/>
        </w:rPr>
        <w:t>’</w:t>
      </w:r>
      <w:r w:rsidRPr="00C01637">
        <w:rPr>
          <w:lang w:val="fr-FR"/>
        </w:rPr>
        <w:t>adoption du premier décret du recteur ; au contraire, la commission avait été à nouveau convoquée pour remédier à l</w:t>
      </w:r>
      <w:r w:rsidR="00B42F86">
        <w:rPr>
          <w:lang w:val="fr-FR"/>
        </w:rPr>
        <w:t>’</w:t>
      </w:r>
      <w:r w:rsidRPr="00C01637">
        <w:rPr>
          <w:lang w:val="fr-FR"/>
        </w:rPr>
        <w:t xml:space="preserve">illégalité indiquée par le TAR dans son ordonnance du 28 octobre 2009 (paragraphe </w:t>
      </w:r>
      <w:r>
        <w:rPr>
          <w:lang w:val="fr-FR"/>
        </w:rPr>
        <w:t>14</w:t>
      </w:r>
      <w:r w:rsidRPr="00C01637">
        <w:rPr>
          <w:lang w:val="fr-FR"/>
        </w:rPr>
        <w:t xml:space="preserve"> ci-dessus). Dans ces circonstances, il était sans importance que Z eût perdu une condition – </w:t>
      </w:r>
      <w:r w:rsidRPr="00C01637">
        <w:rPr>
          <w:lang w:val="fr-FR"/>
        </w:rPr>
        <w:lastRenderedPageBreak/>
        <w:t>sa qualité d</w:t>
      </w:r>
      <w:r w:rsidR="00B42F86">
        <w:rPr>
          <w:lang w:val="fr-FR"/>
        </w:rPr>
        <w:t>’</w:t>
      </w:r>
      <w:r w:rsidRPr="00C01637">
        <w:rPr>
          <w:lang w:val="fr-FR"/>
        </w:rPr>
        <w:t>étudiante – nécessaire au moment de sa nomination en tant que membre de la commission.</w:t>
      </w:r>
    </w:p>
    <w:p w:rsidR="00786D0F" w:rsidRPr="00C01637" w:rsidRDefault="00786D0F" w:rsidP="00786D0F">
      <w:pPr>
        <w:pStyle w:val="ECHRPara"/>
        <w:rPr>
          <w:lang w:val="fr-FR"/>
        </w:rPr>
      </w:pPr>
      <w:bookmarkStart w:id="16" w:name="CStatoproporzionalitasanzione"/>
      <w:r>
        <w:rPr>
          <w:lang w:val="fr-FR"/>
        </w:rPr>
        <w:t>27</w:t>
      </w:r>
      <w:bookmarkEnd w:id="16"/>
      <w:r w:rsidRPr="00C01637">
        <w:rPr>
          <w:lang w:val="fr-FR"/>
        </w:rPr>
        <w:t>.  Enfin, dans la mesure où le requérant alléguait que l</w:t>
      </w:r>
      <w:r w:rsidR="00B42F86">
        <w:rPr>
          <w:lang w:val="fr-FR"/>
        </w:rPr>
        <w:t>’</w:t>
      </w:r>
      <w:r w:rsidRPr="00C01637">
        <w:rPr>
          <w:lang w:val="fr-FR"/>
        </w:rPr>
        <w:t>infliction de la sanction disciplinaire n</w:t>
      </w:r>
      <w:r w:rsidR="00B42F86">
        <w:rPr>
          <w:lang w:val="fr-FR"/>
        </w:rPr>
        <w:t>’</w:t>
      </w:r>
      <w:r w:rsidRPr="00C01637">
        <w:rPr>
          <w:lang w:val="fr-FR"/>
        </w:rPr>
        <w:t>était pas suffisamment motivée et soutenait que sa conduite était dirigée contre des particuliers, et non contre l</w:t>
      </w:r>
      <w:r w:rsidR="00B42F86">
        <w:rPr>
          <w:lang w:val="fr-FR"/>
        </w:rPr>
        <w:t>’</w:t>
      </w:r>
      <w:r w:rsidRPr="00C01637">
        <w:rPr>
          <w:lang w:val="fr-FR"/>
        </w:rPr>
        <w:t>institution universitaire, le Conseil d</w:t>
      </w:r>
      <w:r w:rsidR="00B42F86">
        <w:rPr>
          <w:lang w:val="fr-FR"/>
        </w:rPr>
        <w:t>’</w:t>
      </w:r>
      <w:r w:rsidRPr="00C01637">
        <w:rPr>
          <w:lang w:val="fr-FR"/>
        </w:rPr>
        <w:t>État rappela qu</w:t>
      </w:r>
      <w:r w:rsidR="00B42F86">
        <w:rPr>
          <w:lang w:val="fr-FR"/>
        </w:rPr>
        <w:t>’</w:t>
      </w:r>
      <w:r w:rsidRPr="00C01637">
        <w:rPr>
          <w:lang w:val="fr-FR"/>
        </w:rPr>
        <w:t>il appartenait à l</w:t>
      </w:r>
      <w:r w:rsidR="00B42F86">
        <w:rPr>
          <w:lang w:val="fr-FR"/>
        </w:rPr>
        <w:t>’</w:t>
      </w:r>
      <w:r w:rsidRPr="00C01637">
        <w:rPr>
          <w:lang w:val="fr-FR"/>
        </w:rPr>
        <w:t>administration d</w:t>
      </w:r>
      <w:r w:rsidR="00B42F86">
        <w:rPr>
          <w:lang w:val="fr-FR"/>
        </w:rPr>
        <w:t>’</w:t>
      </w:r>
      <w:r w:rsidRPr="00C01637">
        <w:rPr>
          <w:lang w:val="fr-FR"/>
        </w:rPr>
        <w:t>évaluer la gravité du comportement reproché. Le juge administratif pouvait intervenir seulement s</w:t>
      </w:r>
      <w:r w:rsidR="00B42F86">
        <w:rPr>
          <w:lang w:val="fr-FR"/>
        </w:rPr>
        <w:t>’</w:t>
      </w:r>
      <w:r w:rsidRPr="00C01637">
        <w:rPr>
          <w:lang w:val="fr-FR"/>
        </w:rPr>
        <w:t>il y avait eu excès de pouvoir à cause du caractère manifestement illogique de la décision, de sa nature contradictoire ou en vertu d</w:t>
      </w:r>
      <w:r w:rsidR="00B42F86">
        <w:rPr>
          <w:lang w:val="fr-FR"/>
        </w:rPr>
        <w:t>’</w:t>
      </w:r>
      <w:r w:rsidRPr="00C01637">
        <w:rPr>
          <w:lang w:val="fr-FR"/>
        </w:rPr>
        <w:t>une déformation (</w:t>
      </w:r>
      <w:r w:rsidRPr="00C01637">
        <w:rPr>
          <w:i/>
          <w:lang w:val="fr-FR"/>
        </w:rPr>
        <w:t>travisamento</w:t>
      </w:r>
      <w:r w:rsidRPr="00C01637">
        <w:rPr>
          <w:lang w:val="fr-FR"/>
        </w:rPr>
        <w:t>) des faits pertinents. Cependant, aucun de ces vices ne subsistait en l</w:t>
      </w:r>
      <w:r w:rsidR="00B42F86">
        <w:rPr>
          <w:lang w:val="fr-FR"/>
        </w:rPr>
        <w:t>’</w:t>
      </w:r>
      <w:r w:rsidRPr="00C01637">
        <w:rPr>
          <w:lang w:val="fr-FR"/>
        </w:rPr>
        <w:t xml:space="preserve">espèce. </w:t>
      </w:r>
      <w:r w:rsidRPr="00C01637">
        <w:rPr>
          <w:rFonts w:cstheme="minorHAnsi"/>
          <w:lang w:val="fr-FR"/>
        </w:rPr>
        <w:t>À</w:t>
      </w:r>
      <w:r w:rsidRPr="00C01637">
        <w:rPr>
          <w:lang w:val="fr-FR"/>
        </w:rPr>
        <w:t xml:space="preserve"> cet égard, le Conseil d</w:t>
      </w:r>
      <w:r w:rsidR="00B42F86">
        <w:rPr>
          <w:lang w:val="fr-FR"/>
        </w:rPr>
        <w:t>’</w:t>
      </w:r>
      <w:r w:rsidRPr="00C01637">
        <w:rPr>
          <w:lang w:val="fr-FR"/>
        </w:rPr>
        <w:t>État observa que le deuxième décret du recteur se référait à l</w:t>
      </w:r>
      <w:r w:rsidR="00B42F86">
        <w:rPr>
          <w:lang w:val="fr-FR"/>
        </w:rPr>
        <w:t>’</w:t>
      </w:r>
      <w:r w:rsidRPr="00C01637">
        <w:rPr>
          <w:lang w:val="fr-FR"/>
        </w:rPr>
        <w:t xml:space="preserve">avis exprimé par la commission de discipline dans sa délibération du 17 juin 2009 (paragraphe </w:t>
      </w:r>
      <w:r>
        <w:rPr>
          <w:lang w:val="fr-FR"/>
        </w:rPr>
        <w:t>11</w:t>
      </w:r>
      <w:r w:rsidRPr="00C01637">
        <w:rPr>
          <w:lang w:val="fr-FR"/>
        </w:rPr>
        <w:t xml:space="preserve"> ci-dessus), relative aux comportements tenus par le requérant à l</w:t>
      </w:r>
      <w:r w:rsidR="00B42F86">
        <w:rPr>
          <w:lang w:val="fr-FR"/>
        </w:rPr>
        <w:t>’</w:t>
      </w:r>
      <w:r w:rsidRPr="00C01637">
        <w:rPr>
          <w:lang w:val="fr-FR"/>
        </w:rPr>
        <w:t>encontre de plusieurs personnes en connexion avec les fonctions que celles-ci exerçaient au sein de l</w:t>
      </w:r>
      <w:r w:rsidR="00B42F86">
        <w:rPr>
          <w:lang w:val="fr-FR"/>
        </w:rPr>
        <w:t>’</w:t>
      </w:r>
      <w:r w:rsidR="005318BD">
        <w:rPr>
          <w:lang w:val="fr-FR"/>
        </w:rPr>
        <w:t>université.</w:t>
      </w:r>
    </w:p>
    <w:p w:rsidR="00786D0F" w:rsidRPr="00C01637" w:rsidRDefault="00786D0F" w:rsidP="00786D0F">
      <w:pPr>
        <w:pStyle w:val="ECHRHeading2"/>
        <w:rPr>
          <w:lang w:val="fr-FR"/>
        </w:rPr>
      </w:pPr>
      <w:r w:rsidRPr="00C01637">
        <w:rPr>
          <w:lang w:val="fr-FR"/>
        </w:rPr>
        <w:t>B.  Le droit interne pertinent</w:t>
      </w:r>
    </w:p>
    <w:p w:rsidR="00786D0F" w:rsidRPr="00C01637" w:rsidRDefault="00786D0F" w:rsidP="00786D0F">
      <w:pPr>
        <w:pStyle w:val="ECHRPara"/>
        <w:rPr>
          <w:lang w:val="fr-FR"/>
        </w:rPr>
      </w:pPr>
      <w:bookmarkStart w:id="17" w:name="articolo16regiodecreto"/>
      <w:r>
        <w:rPr>
          <w:lang w:val="fr-FR"/>
        </w:rPr>
        <w:t>28</w:t>
      </w:r>
      <w:bookmarkEnd w:id="17"/>
      <w:r w:rsidRPr="00C01637">
        <w:rPr>
          <w:lang w:val="fr-FR"/>
        </w:rPr>
        <w:t>.  Les paragraphes 1 et 2 de l</w:t>
      </w:r>
      <w:r w:rsidR="00B42F86">
        <w:rPr>
          <w:lang w:val="fr-FR"/>
        </w:rPr>
        <w:t>’</w:t>
      </w:r>
      <w:r w:rsidRPr="00C01637">
        <w:rPr>
          <w:lang w:val="fr-FR"/>
        </w:rPr>
        <w:t>article 16 du décret-loi royal n</w:t>
      </w:r>
      <w:r w:rsidR="0092451F" w:rsidRPr="0092451F">
        <w:rPr>
          <w:vertAlign w:val="superscript"/>
          <w:lang w:val="fr-FR"/>
        </w:rPr>
        <w:t>o</w:t>
      </w:r>
      <w:r w:rsidRPr="00C01637">
        <w:rPr>
          <w:lang w:val="fr-FR"/>
        </w:rPr>
        <w:t xml:space="preserve"> 1071 du 20 j</w:t>
      </w:r>
      <w:r w:rsidR="005318BD">
        <w:rPr>
          <w:lang w:val="fr-FR"/>
        </w:rPr>
        <w:t>uin 1935 sont ainsi rédigés :</w:t>
      </w:r>
    </w:p>
    <w:p w:rsidR="00786D0F" w:rsidRPr="00C01637" w:rsidRDefault="00786D0F" w:rsidP="00786D0F">
      <w:pPr>
        <w:pStyle w:val="ECHRParaQuote"/>
        <w:rPr>
          <w:lang w:val="fr-FR"/>
        </w:rPr>
      </w:pPr>
      <w:r w:rsidRPr="00C01637">
        <w:rPr>
          <w:lang w:val="fr-FR"/>
        </w:rPr>
        <w:t>« 1.  La juridiction disciplinaire sur les étudiants appartient au recteur ou directeur, au sénat académique et aux conseils de la faculté ou de l</w:t>
      </w:r>
      <w:r w:rsidR="00B42F86">
        <w:rPr>
          <w:lang w:val="fr-FR"/>
        </w:rPr>
        <w:t>’</w:t>
      </w:r>
      <w:r w:rsidRPr="00C01637">
        <w:rPr>
          <w:lang w:val="fr-FR"/>
        </w:rPr>
        <w:t>école, et est exercée même pour des faits commis par les étudiants en dehors des locaux et des établissements universitaires, lorsque [ces faits] ont été reconnus comme ayant lésé la dignité et le prestige (</w:t>
      </w:r>
      <w:r w:rsidRPr="00C01637">
        <w:rPr>
          <w:i/>
          <w:lang w:val="fr-FR"/>
        </w:rPr>
        <w:t>l</w:t>
      </w:r>
      <w:r w:rsidR="00B42F86">
        <w:rPr>
          <w:i/>
          <w:lang w:val="fr-FR"/>
        </w:rPr>
        <w:t>’</w:t>
      </w:r>
      <w:r w:rsidRPr="00C01637">
        <w:rPr>
          <w:i/>
          <w:lang w:val="fr-FR"/>
        </w:rPr>
        <w:t>onore</w:t>
      </w:r>
      <w:r w:rsidRPr="00C01637">
        <w:rPr>
          <w:lang w:val="fr-FR"/>
        </w:rPr>
        <w:t>), sans que cela préjuge les éventuelles sanctions [prévues par la] loi.</w:t>
      </w:r>
    </w:p>
    <w:p w:rsidR="00786D0F" w:rsidRPr="00C01637" w:rsidRDefault="00786D0F" w:rsidP="00786D0F">
      <w:pPr>
        <w:pStyle w:val="ECHRParaQuote"/>
        <w:rPr>
          <w:lang w:val="fr-FR"/>
        </w:rPr>
      </w:pPr>
      <w:r w:rsidRPr="00C01637">
        <w:rPr>
          <w:lang w:val="fr-FR"/>
        </w:rPr>
        <w:t>2.  Les sanctions qui peuvent être appliquées, afin de maintenir la discipline au sein de l</w:t>
      </w:r>
      <w:r w:rsidR="00B42F86">
        <w:rPr>
          <w:lang w:val="fr-FR"/>
        </w:rPr>
        <w:t>’</w:t>
      </w:r>
      <w:r w:rsidRPr="00C01637">
        <w:rPr>
          <w:lang w:val="fr-FR"/>
        </w:rPr>
        <w:t>école, sont les suivantes :</w:t>
      </w:r>
    </w:p>
    <w:p w:rsidR="00786D0F" w:rsidRPr="00C01637" w:rsidRDefault="00786D0F" w:rsidP="00786D0F">
      <w:pPr>
        <w:pStyle w:val="ECHRParaQuote"/>
        <w:rPr>
          <w:lang w:val="fr-FR"/>
        </w:rPr>
      </w:pPr>
      <w:r w:rsidRPr="00C01637">
        <w:rPr>
          <w:lang w:val="fr-FR"/>
        </w:rPr>
        <w:t>a) avertissement ;</w:t>
      </w:r>
    </w:p>
    <w:p w:rsidR="00786D0F" w:rsidRPr="00C01637" w:rsidRDefault="00786D0F" w:rsidP="00786D0F">
      <w:pPr>
        <w:pStyle w:val="ECHRParaQuote"/>
        <w:rPr>
          <w:lang w:val="fr-FR"/>
        </w:rPr>
      </w:pPr>
      <w:r w:rsidRPr="00C01637">
        <w:rPr>
          <w:lang w:val="fr-FR"/>
        </w:rPr>
        <w:t>b) interdiction temporaire [à la participation] à un ou plusieurs cours ;</w:t>
      </w:r>
    </w:p>
    <w:p w:rsidR="00786D0F" w:rsidRPr="00C01637" w:rsidRDefault="00786D0F" w:rsidP="00786D0F">
      <w:pPr>
        <w:pStyle w:val="ECHRParaQuote"/>
        <w:rPr>
          <w:lang w:val="fr-FR"/>
        </w:rPr>
      </w:pPr>
      <w:r w:rsidRPr="00C01637">
        <w:rPr>
          <w:lang w:val="fr-FR"/>
        </w:rPr>
        <w:t>c) suspension pour un ou plusieurs examens profitables pour l</w:t>
      </w:r>
      <w:r w:rsidR="00B42F86">
        <w:rPr>
          <w:lang w:val="fr-FR"/>
        </w:rPr>
        <w:t>’</w:t>
      </w:r>
      <w:r w:rsidRPr="00C01637">
        <w:rPr>
          <w:lang w:val="fr-FR"/>
        </w:rPr>
        <w:t>une des deux sessions [d</w:t>
      </w:r>
      <w:r w:rsidR="00B42F86">
        <w:rPr>
          <w:lang w:val="fr-FR"/>
        </w:rPr>
        <w:t>’</w:t>
      </w:r>
      <w:r w:rsidRPr="00C01637">
        <w:rPr>
          <w:lang w:val="fr-FR"/>
        </w:rPr>
        <w:t>examen] ;</w:t>
      </w:r>
    </w:p>
    <w:p w:rsidR="00786D0F" w:rsidRPr="00C01637" w:rsidRDefault="00786D0F" w:rsidP="00786D0F">
      <w:pPr>
        <w:pStyle w:val="ECHRParaQuote"/>
        <w:rPr>
          <w:lang w:val="fr-FR"/>
        </w:rPr>
      </w:pPr>
      <w:r w:rsidRPr="00C01637">
        <w:rPr>
          <w:lang w:val="fr-FR"/>
        </w:rPr>
        <w:t>d) exclusion temporaire de l</w:t>
      </w:r>
      <w:r w:rsidR="00B42F86">
        <w:rPr>
          <w:lang w:val="fr-FR"/>
        </w:rPr>
        <w:t>’</w:t>
      </w:r>
      <w:r w:rsidRPr="00C01637">
        <w:rPr>
          <w:lang w:val="fr-FR"/>
        </w:rPr>
        <w:t>université avec perte de sessions d</w:t>
      </w:r>
      <w:r w:rsidR="00B42F86">
        <w:rPr>
          <w:lang w:val="fr-FR"/>
        </w:rPr>
        <w:t>’</w:t>
      </w:r>
      <w:r w:rsidR="005318BD">
        <w:rPr>
          <w:lang w:val="fr-FR"/>
        </w:rPr>
        <w:t>examen. »</w:t>
      </w:r>
    </w:p>
    <w:p w:rsidR="00786D0F" w:rsidRPr="00C01637" w:rsidRDefault="00786D0F" w:rsidP="00786D0F">
      <w:pPr>
        <w:pStyle w:val="ECHRPara"/>
        <w:rPr>
          <w:lang w:val="fr-FR"/>
        </w:rPr>
      </w:pPr>
      <w:bookmarkStart w:id="18" w:name="art37regolamentoateneo"/>
      <w:r>
        <w:rPr>
          <w:lang w:val="fr-FR"/>
        </w:rPr>
        <w:t>29</w:t>
      </w:r>
      <w:bookmarkEnd w:id="18"/>
      <w:r w:rsidRPr="00C01637">
        <w:rPr>
          <w:lang w:val="fr-FR"/>
        </w:rPr>
        <w:t xml:space="preserve">.  Le règlement </w:t>
      </w:r>
      <w:r>
        <w:rPr>
          <w:lang w:val="fr-FR"/>
        </w:rPr>
        <w:t>pédagogi</w:t>
      </w:r>
      <w:r w:rsidRPr="00C01637">
        <w:rPr>
          <w:lang w:val="fr-FR"/>
        </w:rPr>
        <w:t>que de l</w:t>
      </w:r>
      <w:r w:rsidR="00B42F86">
        <w:rPr>
          <w:lang w:val="fr-FR"/>
        </w:rPr>
        <w:t>’</w:t>
      </w:r>
      <w:r w:rsidRPr="00C01637">
        <w:rPr>
          <w:lang w:val="fr-FR"/>
        </w:rPr>
        <w:t>athénée de Naples a été adopté par le décret rectoral n</w:t>
      </w:r>
      <w:r w:rsidR="0092451F" w:rsidRPr="0092451F">
        <w:rPr>
          <w:vertAlign w:val="superscript"/>
          <w:lang w:val="fr-FR"/>
        </w:rPr>
        <w:t>o</w:t>
      </w:r>
      <w:r w:rsidRPr="00C01637">
        <w:rPr>
          <w:lang w:val="fr-FR"/>
        </w:rPr>
        <w:t xml:space="preserve"> 3676 du 13 septembre 2001. Son article 37, intitulé « sanctions disciplinaires à l</w:t>
      </w:r>
      <w:r w:rsidR="00B42F86">
        <w:rPr>
          <w:lang w:val="fr-FR"/>
        </w:rPr>
        <w:t>’</w:t>
      </w:r>
      <w:r w:rsidRPr="00C01637">
        <w:rPr>
          <w:lang w:val="fr-FR"/>
        </w:rPr>
        <w:t>encontre des étudiants », se lit comme suit :</w:t>
      </w:r>
    </w:p>
    <w:p w:rsidR="00786D0F" w:rsidRPr="00C01637" w:rsidRDefault="00786D0F" w:rsidP="00786D0F">
      <w:pPr>
        <w:pStyle w:val="ECHRParaQuote"/>
        <w:rPr>
          <w:lang w:val="fr-FR"/>
        </w:rPr>
      </w:pPr>
      <w:r w:rsidRPr="00C01637">
        <w:rPr>
          <w:lang w:val="fr-FR"/>
        </w:rPr>
        <w:t>« La juridiction disciplinaire sur les étudiants appartient au recteur et est exercée même pour des faits commis par les étudiants en dehors du siège de l</w:t>
      </w:r>
      <w:r w:rsidR="00B42F86">
        <w:rPr>
          <w:lang w:val="fr-FR"/>
        </w:rPr>
        <w:t>’</w:t>
      </w:r>
      <w:r w:rsidRPr="00C01637">
        <w:rPr>
          <w:lang w:val="fr-FR"/>
        </w:rPr>
        <w:t>université lorsque [ces faits] ont été reconnus comme ayant lésé la dignité et le prestige (</w:t>
      </w:r>
      <w:r w:rsidRPr="00C01637">
        <w:rPr>
          <w:i/>
          <w:lang w:val="fr-FR"/>
        </w:rPr>
        <w:t>l</w:t>
      </w:r>
      <w:r w:rsidR="00B42F86">
        <w:rPr>
          <w:i/>
          <w:lang w:val="fr-FR"/>
        </w:rPr>
        <w:t>’</w:t>
      </w:r>
      <w:r w:rsidRPr="00C01637">
        <w:rPr>
          <w:i/>
          <w:lang w:val="fr-FR"/>
        </w:rPr>
        <w:t>onore</w:t>
      </w:r>
      <w:r w:rsidRPr="00C01637">
        <w:rPr>
          <w:lang w:val="fr-FR"/>
        </w:rPr>
        <w:t>) de l</w:t>
      </w:r>
      <w:r w:rsidR="00B42F86">
        <w:rPr>
          <w:lang w:val="fr-FR"/>
        </w:rPr>
        <w:t>’</w:t>
      </w:r>
      <w:r w:rsidRPr="00C01637">
        <w:rPr>
          <w:lang w:val="fr-FR"/>
        </w:rPr>
        <w:t>institution universitaire, sans que cela préjuge les éventuelles san</w:t>
      </w:r>
      <w:r w:rsidR="005318BD">
        <w:rPr>
          <w:lang w:val="fr-FR"/>
        </w:rPr>
        <w:t>ctions [prévues par la] loi. »</w:t>
      </w:r>
    </w:p>
    <w:p w:rsidR="00786D0F" w:rsidRPr="00C01637" w:rsidRDefault="00786D0F" w:rsidP="00786D0F">
      <w:pPr>
        <w:pStyle w:val="ECHRTitle1"/>
        <w:rPr>
          <w:lang w:val="fr-FR"/>
        </w:rPr>
      </w:pPr>
      <w:r w:rsidRPr="00C01637">
        <w:rPr>
          <w:lang w:val="fr-FR"/>
        </w:rPr>
        <w:lastRenderedPageBreak/>
        <w:t>GRIEFS</w:t>
      </w:r>
    </w:p>
    <w:p w:rsidR="00786D0F" w:rsidRPr="00C01637" w:rsidRDefault="00786D0F" w:rsidP="00786D0F">
      <w:pPr>
        <w:pStyle w:val="ECHRPara"/>
        <w:rPr>
          <w:lang w:val="fr-FR"/>
        </w:rPr>
      </w:pPr>
      <w:r>
        <w:rPr>
          <w:lang w:val="fr-FR"/>
        </w:rPr>
        <w:t>30</w:t>
      </w:r>
      <w:r w:rsidRPr="00C01637">
        <w:rPr>
          <w:lang w:val="fr-FR"/>
        </w:rPr>
        <w:t>.  Invoquant l</w:t>
      </w:r>
      <w:r w:rsidR="00B42F86">
        <w:rPr>
          <w:lang w:val="fr-FR"/>
        </w:rPr>
        <w:t>’</w:t>
      </w:r>
      <w:r w:rsidRPr="00C01637">
        <w:rPr>
          <w:lang w:val="fr-FR"/>
        </w:rPr>
        <w:t>article 6 de la Convention, le requérant se plaint d</w:t>
      </w:r>
      <w:r w:rsidR="00B42F86">
        <w:rPr>
          <w:lang w:val="fr-FR"/>
        </w:rPr>
        <w:t>’</w:t>
      </w:r>
      <w:r w:rsidRPr="00C01637">
        <w:rPr>
          <w:lang w:val="fr-FR"/>
        </w:rPr>
        <w:t>un manque d</w:t>
      </w:r>
      <w:r w:rsidR="00B42F86">
        <w:rPr>
          <w:lang w:val="fr-FR"/>
        </w:rPr>
        <w:t>’</w:t>
      </w:r>
      <w:r w:rsidRPr="00C01637">
        <w:rPr>
          <w:lang w:val="fr-FR"/>
        </w:rPr>
        <w:t>équité de la procédure disciplinaire à son encontre.</w:t>
      </w:r>
    </w:p>
    <w:p w:rsidR="00786D0F" w:rsidRPr="00C01637" w:rsidRDefault="00786D0F" w:rsidP="00786D0F">
      <w:pPr>
        <w:pStyle w:val="ECHRPara"/>
        <w:rPr>
          <w:lang w:val="fr-FR"/>
        </w:rPr>
      </w:pPr>
      <w:r>
        <w:rPr>
          <w:lang w:val="fr-FR"/>
        </w:rPr>
        <w:t>31</w:t>
      </w:r>
      <w:r w:rsidRPr="00C01637">
        <w:rPr>
          <w:lang w:val="fr-FR"/>
        </w:rPr>
        <w:t>.  Invoquant l</w:t>
      </w:r>
      <w:r w:rsidR="00B42F86">
        <w:rPr>
          <w:lang w:val="fr-FR"/>
        </w:rPr>
        <w:t>’</w:t>
      </w:r>
      <w:r w:rsidRPr="00C01637">
        <w:rPr>
          <w:lang w:val="fr-FR"/>
        </w:rPr>
        <w:t>article 13 de la Convention, le requérant se plaint de l</w:t>
      </w:r>
      <w:r w:rsidR="00B42F86">
        <w:rPr>
          <w:lang w:val="fr-FR"/>
        </w:rPr>
        <w:t>’</w:t>
      </w:r>
      <w:r w:rsidRPr="00C01637">
        <w:rPr>
          <w:lang w:val="fr-FR"/>
        </w:rPr>
        <w:t>absence d</w:t>
      </w:r>
      <w:r w:rsidR="00B42F86">
        <w:rPr>
          <w:lang w:val="fr-FR"/>
        </w:rPr>
        <w:t>’</w:t>
      </w:r>
      <w:r w:rsidRPr="00C01637">
        <w:rPr>
          <w:lang w:val="fr-FR"/>
        </w:rPr>
        <w:t>un recours effectif pour revendiquer ses droits.</w:t>
      </w:r>
    </w:p>
    <w:p w:rsidR="0092451F" w:rsidRDefault="00786D0F" w:rsidP="00786D0F">
      <w:pPr>
        <w:pStyle w:val="ECHRPara"/>
        <w:rPr>
          <w:lang w:val="fr-FR"/>
        </w:rPr>
      </w:pPr>
      <w:r>
        <w:rPr>
          <w:lang w:val="fr-FR"/>
        </w:rPr>
        <w:t>32</w:t>
      </w:r>
      <w:r w:rsidRPr="00C01637">
        <w:rPr>
          <w:lang w:val="fr-FR"/>
        </w:rPr>
        <w:t>.  Invoquant l</w:t>
      </w:r>
      <w:r w:rsidR="00B42F86">
        <w:rPr>
          <w:lang w:val="fr-FR"/>
        </w:rPr>
        <w:t>’</w:t>
      </w:r>
      <w:r w:rsidRPr="00C01637">
        <w:rPr>
          <w:lang w:val="fr-FR"/>
        </w:rPr>
        <w:t>article 7 de la Convention, le requérant allègue que la sanction qui lui a été infligée n</w:t>
      </w:r>
      <w:r w:rsidR="00B42F86">
        <w:rPr>
          <w:lang w:val="fr-FR"/>
        </w:rPr>
        <w:t>’</w:t>
      </w:r>
      <w:r w:rsidRPr="00C01637">
        <w:rPr>
          <w:lang w:val="fr-FR"/>
        </w:rPr>
        <w:t>était pas prévue par la loi.</w:t>
      </w:r>
    </w:p>
    <w:p w:rsidR="00786D0F" w:rsidRPr="00C01637" w:rsidRDefault="00786D0F" w:rsidP="00786D0F">
      <w:pPr>
        <w:pStyle w:val="ECHRPara"/>
        <w:rPr>
          <w:lang w:val="fr-FR"/>
        </w:rPr>
      </w:pPr>
      <w:r>
        <w:rPr>
          <w:lang w:val="fr-FR"/>
        </w:rPr>
        <w:t>33</w:t>
      </w:r>
      <w:r w:rsidRPr="00C01637">
        <w:rPr>
          <w:lang w:val="fr-FR"/>
        </w:rPr>
        <w:t>.  Invoquant l</w:t>
      </w:r>
      <w:r w:rsidR="00B42F86">
        <w:rPr>
          <w:lang w:val="fr-FR"/>
        </w:rPr>
        <w:t>’</w:t>
      </w:r>
      <w:r w:rsidRPr="00C01637">
        <w:rPr>
          <w:lang w:val="fr-FR"/>
        </w:rPr>
        <w:t>article 8 de la Convention, le requérant dénonce une ingérence injustifiée dans son droit au respect de sa correspondance.</w:t>
      </w:r>
    </w:p>
    <w:p w:rsidR="0092451F" w:rsidRDefault="00786D0F" w:rsidP="00786D0F">
      <w:pPr>
        <w:pStyle w:val="ECHRPara"/>
        <w:rPr>
          <w:lang w:val="fr-FR"/>
        </w:rPr>
      </w:pPr>
      <w:r>
        <w:rPr>
          <w:lang w:val="fr-FR"/>
        </w:rPr>
        <w:t>34</w:t>
      </w:r>
      <w:r w:rsidRPr="00C01637">
        <w:rPr>
          <w:lang w:val="fr-FR"/>
        </w:rPr>
        <w:t>.  Invoquant l</w:t>
      </w:r>
      <w:r w:rsidR="00B42F86">
        <w:rPr>
          <w:lang w:val="fr-FR"/>
        </w:rPr>
        <w:t>’</w:t>
      </w:r>
      <w:r w:rsidRPr="00C01637">
        <w:rPr>
          <w:lang w:val="fr-FR"/>
        </w:rPr>
        <w:t>article 10 de la Convention, le requérant affirme que la sanction disciplinaire dont il a fait l</w:t>
      </w:r>
      <w:r w:rsidR="00B42F86">
        <w:rPr>
          <w:lang w:val="fr-FR"/>
        </w:rPr>
        <w:t>’</w:t>
      </w:r>
      <w:r w:rsidRPr="00C01637">
        <w:rPr>
          <w:lang w:val="fr-FR"/>
        </w:rPr>
        <w:t>objet s</w:t>
      </w:r>
      <w:r w:rsidR="00B42F86">
        <w:rPr>
          <w:lang w:val="fr-FR"/>
        </w:rPr>
        <w:t>’</w:t>
      </w:r>
      <w:r w:rsidRPr="00C01637">
        <w:rPr>
          <w:lang w:val="fr-FR"/>
        </w:rPr>
        <w:t>analyse en une atteinte à son droit à la liberté d</w:t>
      </w:r>
      <w:r w:rsidR="00B42F86">
        <w:rPr>
          <w:lang w:val="fr-FR"/>
        </w:rPr>
        <w:t>’</w:t>
      </w:r>
      <w:r w:rsidRPr="00C01637">
        <w:rPr>
          <w:lang w:val="fr-FR"/>
        </w:rPr>
        <w:t>expression.</w:t>
      </w:r>
    </w:p>
    <w:p w:rsidR="00786D0F" w:rsidRPr="00C01637" w:rsidRDefault="00786D0F" w:rsidP="00786D0F">
      <w:pPr>
        <w:pStyle w:val="ECHRTitle1"/>
        <w:rPr>
          <w:lang w:val="fr-FR"/>
        </w:rPr>
      </w:pPr>
      <w:r w:rsidRPr="00C01637">
        <w:rPr>
          <w:lang w:val="fr-FR"/>
        </w:rPr>
        <w:t>EN DROIT</w:t>
      </w:r>
    </w:p>
    <w:p w:rsidR="00786D0F" w:rsidRPr="00C01637" w:rsidRDefault="00786D0F" w:rsidP="00786D0F">
      <w:pPr>
        <w:pStyle w:val="ECHRHeading2"/>
        <w:rPr>
          <w:lang w:val="fr-FR"/>
        </w:rPr>
      </w:pPr>
      <w:r w:rsidRPr="00C01637">
        <w:rPr>
          <w:lang w:val="fr-FR"/>
        </w:rPr>
        <w:t>A.  Griefs tirés de l</w:t>
      </w:r>
      <w:r w:rsidR="00B42F86">
        <w:rPr>
          <w:lang w:val="fr-FR"/>
        </w:rPr>
        <w:t>’</w:t>
      </w:r>
      <w:r w:rsidRPr="00C01637">
        <w:rPr>
          <w:lang w:val="fr-FR"/>
        </w:rPr>
        <w:t>article 6 de la Convention</w:t>
      </w:r>
    </w:p>
    <w:p w:rsidR="00786D0F" w:rsidRPr="00C01637" w:rsidRDefault="00786D0F" w:rsidP="00786D0F">
      <w:pPr>
        <w:pStyle w:val="ECHRPara"/>
        <w:rPr>
          <w:lang w:val="fr-FR"/>
        </w:rPr>
      </w:pPr>
      <w:r>
        <w:rPr>
          <w:lang w:val="fr-FR"/>
        </w:rPr>
        <w:t>35</w:t>
      </w:r>
      <w:r w:rsidRPr="00C01637">
        <w:rPr>
          <w:lang w:val="fr-FR"/>
        </w:rPr>
        <w:t>.  Le requérant considère que la procédure dont il a fait l</w:t>
      </w:r>
      <w:r w:rsidR="00B42F86">
        <w:rPr>
          <w:lang w:val="fr-FR"/>
        </w:rPr>
        <w:t>’</w:t>
      </w:r>
      <w:r w:rsidRPr="00C01637">
        <w:rPr>
          <w:lang w:val="fr-FR"/>
        </w:rPr>
        <w:t>objet n</w:t>
      </w:r>
      <w:r w:rsidR="00B42F86">
        <w:rPr>
          <w:lang w:val="fr-FR"/>
        </w:rPr>
        <w:t>’</w:t>
      </w:r>
      <w:r w:rsidR="005318BD">
        <w:rPr>
          <w:lang w:val="fr-FR"/>
        </w:rPr>
        <w:t>a pas été équitable.</w:t>
      </w:r>
    </w:p>
    <w:p w:rsidR="00786D0F" w:rsidRPr="00C01637" w:rsidRDefault="00786D0F" w:rsidP="00786D0F">
      <w:pPr>
        <w:pStyle w:val="ECHRPara"/>
        <w:rPr>
          <w:lang w:val="fr-FR"/>
        </w:rPr>
      </w:pPr>
      <w:r w:rsidRPr="00C01637">
        <w:rPr>
          <w:lang w:val="fr-FR"/>
        </w:rPr>
        <w:t>Il invoque l</w:t>
      </w:r>
      <w:r w:rsidR="00B42F86">
        <w:rPr>
          <w:lang w:val="fr-FR"/>
        </w:rPr>
        <w:t>’</w:t>
      </w:r>
      <w:r w:rsidRPr="00C01637">
        <w:rPr>
          <w:lang w:val="fr-FR"/>
        </w:rPr>
        <w:t>article 6 §§ 1, 2 et 3 de la Convention.</w:t>
      </w:r>
    </w:p>
    <w:p w:rsidR="00786D0F" w:rsidRPr="00C01637" w:rsidRDefault="00786D0F" w:rsidP="00786D0F">
      <w:pPr>
        <w:pStyle w:val="ECHRPara"/>
        <w:rPr>
          <w:lang w:val="fr-FR"/>
        </w:rPr>
      </w:pPr>
      <w:r w:rsidRPr="00C01637">
        <w:rPr>
          <w:lang w:val="fr-FR"/>
        </w:rPr>
        <w:t>Dans ses parties pertinentes, cette disposition est ainsi libellée :</w:t>
      </w:r>
    </w:p>
    <w:p w:rsidR="00786D0F" w:rsidRPr="00C01637" w:rsidRDefault="00786D0F" w:rsidP="00786D0F">
      <w:pPr>
        <w:pStyle w:val="ECHRParaQuote"/>
        <w:rPr>
          <w:lang w:val="fr-FR"/>
        </w:rPr>
      </w:pPr>
      <w:r w:rsidRPr="00C01637">
        <w:rPr>
          <w:lang w:val="fr-FR"/>
        </w:rPr>
        <w:t>« 1.  Toute personne a droit à ce que sa cause soit entendue équitablement (</w:t>
      </w:r>
      <w:r w:rsidR="0092451F">
        <w:rPr>
          <w:lang w:val="fr-FR"/>
        </w:rPr>
        <w:t>...</w:t>
      </w:r>
      <w:r w:rsidRPr="00C01637">
        <w:rPr>
          <w:lang w:val="fr-FR"/>
        </w:rPr>
        <w:t>) par un tribunal indépendant et impartial, établi par la loi, qui décidera, soit des contestations sur ses droits et obligations de caractère civil, soit du bien-fondé de toute accusation en matière pénale dirigée contre elle. (</w:t>
      </w:r>
      <w:r w:rsidR="0092451F">
        <w:rPr>
          <w:lang w:val="fr-FR"/>
        </w:rPr>
        <w:t>...</w:t>
      </w:r>
      <w:r w:rsidRPr="00C01637">
        <w:rPr>
          <w:lang w:val="fr-FR"/>
        </w:rPr>
        <w:t>).</w:t>
      </w:r>
    </w:p>
    <w:p w:rsidR="00786D0F" w:rsidRPr="00C01637" w:rsidRDefault="00786D0F" w:rsidP="00786D0F">
      <w:pPr>
        <w:pStyle w:val="ECHRParaQuote"/>
        <w:rPr>
          <w:lang w:val="fr-FR"/>
        </w:rPr>
      </w:pPr>
      <w:r w:rsidRPr="00C01637">
        <w:rPr>
          <w:lang w:val="fr-FR"/>
        </w:rPr>
        <w:t>2.  Toute personne accusée d</w:t>
      </w:r>
      <w:r w:rsidR="00B42F86">
        <w:rPr>
          <w:lang w:val="fr-FR"/>
        </w:rPr>
        <w:t>’</w:t>
      </w:r>
      <w:r w:rsidRPr="00C01637">
        <w:rPr>
          <w:lang w:val="fr-FR"/>
        </w:rPr>
        <w:t>une infraction est présumée innocente jusqu</w:t>
      </w:r>
      <w:r w:rsidR="00B42F86">
        <w:rPr>
          <w:lang w:val="fr-FR"/>
        </w:rPr>
        <w:t>’</w:t>
      </w:r>
      <w:r w:rsidRPr="00C01637">
        <w:rPr>
          <w:lang w:val="fr-FR"/>
        </w:rPr>
        <w:t>à ce que sa culpabilité ait été légalement établie.</w:t>
      </w:r>
    </w:p>
    <w:p w:rsidR="00786D0F" w:rsidRPr="00C01637" w:rsidRDefault="00786D0F" w:rsidP="00786D0F">
      <w:pPr>
        <w:pStyle w:val="ECHRParaQuote"/>
        <w:rPr>
          <w:lang w:val="fr-FR"/>
        </w:rPr>
      </w:pPr>
      <w:r w:rsidRPr="00C01637">
        <w:rPr>
          <w:lang w:val="fr-FR"/>
        </w:rPr>
        <w:t>3.  Tout accusé a droit notamment à :</w:t>
      </w:r>
    </w:p>
    <w:p w:rsidR="00786D0F" w:rsidRPr="00C01637" w:rsidRDefault="00786D0F" w:rsidP="00786D0F">
      <w:pPr>
        <w:pStyle w:val="ECHRParaQuote"/>
        <w:rPr>
          <w:lang w:val="fr-FR"/>
        </w:rPr>
      </w:pPr>
      <w:r w:rsidRPr="00C01637">
        <w:rPr>
          <w:lang w:val="fr-FR"/>
        </w:rPr>
        <w:t>a)  être informé, dans le plus court délai, dans une langue qu</w:t>
      </w:r>
      <w:r w:rsidR="00B42F86">
        <w:rPr>
          <w:lang w:val="fr-FR"/>
        </w:rPr>
        <w:t>’</w:t>
      </w:r>
      <w:r w:rsidRPr="00C01637">
        <w:rPr>
          <w:lang w:val="fr-FR"/>
        </w:rPr>
        <w:t>il comprend et d</w:t>
      </w:r>
      <w:r w:rsidR="00B42F86">
        <w:rPr>
          <w:lang w:val="fr-FR"/>
        </w:rPr>
        <w:t>’</w:t>
      </w:r>
      <w:r w:rsidRPr="00C01637">
        <w:rPr>
          <w:lang w:val="fr-FR"/>
        </w:rPr>
        <w:t>une manière détaillée, de la nature et de la cause de l</w:t>
      </w:r>
      <w:r w:rsidR="00B42F86">
        <w:rPr>
          <w:lang w:val="fr-FR"/>
        </w:rPr>
        <w:t>’</w:t>
      </w:r>
      <w:r w:rsidRPr="00C01637">
        <w:rPr>
          <w:lang w:val="fr-FR"/>
        </w:rPr>
        <w:t>accusation portée contre lui ;</w:t>
      </w:r>
    </w:p>
    <w:p w:rsidR="00786D0F" w:rsidRPr="00C01637" w:rsidRDefault="00786D0F" w:rsidP="00786D0F">
      <w:pPr>
        <w:pStyle w:val="ECHRParaQuote"/>
        <w:rPr>
          <w:lang w:val="fr-FR"/>
        </w:rPr>
      </w:pPr>
      <w:r w:rsidRPr="00C01637">
        <w:rPr>
          <w:lang w:val="fr-FR"/>
        </w:rPr>
        <w:t>b)  disposer du temps et des facilités nécessaires à la préparation de sa défense ;</w:t>
      </w:r>
    </w:p>
    <w:p w:rsidR="00786D0F" w:rsidRPr="00C01637" w:rsidRDefault="00786D0F" w:rsidP="00786D0F">
      <w:pPr>
        <w:pStyle w:val="ECHRParaQuote"/>
        <w:rPr>
          <w:lang w:val="fr-FR"/>
        </w:rPr>
      </w:pPr>
      <w:r w:rsidRPr="00C01637">
        <w:rPr>
          <w:lang w:val="fr-FR"/>
        </w:rPr>
        <w:t>c)  se défendre lui-même ou avoir l</w:t>
      </w:r>
      <w:r w:rsidR="00B42F86">
        <w:rPr>
          <w:lang w:val="fr-FR"/>
        </w:rPr>
        <w:t>’</w:t>
      </w:r>
      <w:r w:rsidRPr="00C01637">
        <w:rPr>
          <w:lang w:val="fr-FR"/>
        </w:rPr>
        <w:t>assistance d</w:t>
      </w:r>
      <w:r w:rsidR="00B42F86">
        <w:rPr>
          <w:lang w:val="fr-FR"/>
        </w:rPr>
        <w:t>’</w:t>
      </w:r>
      <w:r w:rsidRPr="00C01637">
        <w:rPr>
          <w:lang w:val="fr-FR"/>
        </w:rPr>
        <w:t>un défenseur de son choix (</w:t>
      </w:r>
      <w:r w:rsidR="0092451F">
        <w:rPr>
          <w:lang w:val="fr-FR"/>
        </w:rPr>
        <w:t>...</w:t>
      </w:r>
      <w:r w:rsidRPr="00C01637">
        <w:rPr>
          <w:lang w:val="fr-FR"/>
        </w:rPr>
        <w:t>) ;</w:t>
      </w:r>
    </w:p>
    <w:p w:rsidR="00786D0F" w:rsidRPr="00C01637" w:rsidRDefault="00786D0F" w:rsidP="00786D0F">
      <w:pPr>
        <w:pStyle w:val="ECHRParaQuote"/>
        <w:rPr>
          <w:lang w:val="fr-FR"/>
        </w:rPr>
      </w:pPr>
      <w:r w:rsidRPr="00C01637">
        <w:rPr>
          <w:lang w:val="fr-FR"/>
        </w:rPr>
        <w:t>d)  interroger ou faire interroger les témoins à charge et obtenir la convocation et l</w:t>
      </w:r>
      <w:r w:rsidR="00B42F86">
        <w:rPr>
          <w:lang w:val="fr-FR"/>
        </w:rPr>
        <w:t>’</w:t>
      </w:r>
      <w:r w:rsidRPr="00C01637">
        <w:rPr>
          <w:lang w:val="fr-FR"/>
        </w:rPr>
        <w:t>interrogation des témoins à décharge dans les mêmes conditions que les témoins à charge ;</w:t>
      </w:r>
    </w:p>
    <w:p w:rsidR="00786D0F" w:rsidRPr="00C01637" w:rsidRDefault="00786D0F" w:rsidP="00786D0F">
      <w:pPr>
        <w:pStyle w:val="ECHRParaQuote"/>
        <w:rPr>
          <w:lang w:val="fr-FR"/>
        </w:rPr>
      </w:pPr>
      <w:r w:rsidRPr="00C01637">
        <w:rPr>
          <w:lang w:val="fr-FR"/>
        </w:rPr>
        <w:t>(</w:t>
      </w:r>
      <w:r w:rsidR="0092451F">
        <w:rPr>
          <w:lang w:val="fr-FR"/>
        </w:rPr>
        <w:t>...</w:t>
      </w:r>
      <w:r w:rsidRPr="00C01637">
        <w:rPr>
          <w:lang w:val="fr-FR"/>
        </w:rPr>
        <w:t>). »</w:t>
      </w:r>
    </w:p>
    <w:p w:rsidR="00786D0F" w:rsidRPr="00C01637" w:rsidRDefault="00786D0F" w:rsidP="00786D0F">
      <w:pPr>
        <w:pStyle w:val="ECHRHeading3"/>
        <w:rPr>
          <w:lang w:val="fr-FR"/>
        </w:rPr>
      </w:pPr>
      <w:r w:rsidRPr="00C01637">
        <w:rPr>
          <w:lang w:val="fr-FR"/>
        </w:rPr>
        <w:t>1.  Les allégations du requérant</w:t>
      </w:r>
    </w:p>
    <w:p w:rsidR="00786D0F" w:rsidRPr="00C01637" w:rsidRDefault="00786D0F" w:rsidP="00786D0F">
      <w:pPr>
        <w:pStyle w:val="ECHRPara"/>
        <w:rPr>
          <w:lang w:val="fr-FR"/>
        </w:rPr>
      </w:pPr>
      <w:bookmarkStart w:id="19" w:name="requcontestacomposizcommdisc"/>
      <w:r>
        <w:rPr>
          <w:lang w:val="fr-FR"/>
        </w:rPr>
        <w:t>36</w:t>
      </w:r>
      <w:bookmarkEnd w:id="19"/>
      <w:r w:rsidRPr="00C01637">
        <w:rPr>
          <w:lang w:val="fr-FR"/>
        </w:rPr>
        <w:t>.  Le requérant affirme que la commission de discipline n</w:t>
      </w:r>
      <w:r w:rsidR="00B42F86">
        <w:rPr>
          <w:lang w:val="fr-FR"/>
        </w:rPr>
        <w:t>’</w:t>
      </w:r>
      <w:r w:rsidRPr="00C01637">
        <w:rPr>
          <w:lang w:val="fr-FR"/>
        </w:rPr>
        <w:t xml:space="preserve">était pas composée de manière conforme à la loi. Il note que Z, qui y siégeait en tant </w:t>
      </w:r>
      <w:r w:rsidRPr="00C01637">
        <w:rPr>
          <w:lang w:val="fr-FR"/>
        </w:rPr>
        <w:lastRenderedPageBreak/>
        <w:t>que représentante des étudiants, avait terminé ses études en décembre 2009 et ne possédait donc plus la qualité d</w:t>
      </w:r>
      <w:r w:rsidR="00B42F86">
        <w:rPr>
          <w:lang w:val="fr-FR"/>
        </w:rPr>
        <w:t>’</w:t>
      </w:r>
      <w:r w:rsidRPr="00C01637">
        <w:rPr>
          <w:lang w:val="fr-FR"/>
        </w:rPr>
        <w:t xml:space="preserve">étudiante lors de la réunion du 9 février 2010 (paragraphe </w:t>
      </w:r>
      <w:r>
        <w:rPr>
          <w:lang w:val="fr-FR"/>
        </w:rPr>
        <w:t>17</w:t>
      </w:r>
      <w:r w:rsidR="005318BD">
        <w:rPr>
          <w:lang w:val="fr-FR"/>
        </w:rPr>
        <w:t xml:space="preserve"> ci-dessus).</w:t>
      </w:r>
    </w:p>
    <w:p w:rsidR="0092451F" w:rsidRDefault="00786D0F" w:rsidP="00786D0F">
      <w:pPr>
        <w:pStyle w:val="ECHRPara"/>
        <w:rPr>
          <w:lang w:val="fr-FR"/>
        </w:rPr>
      </w:pPr>
      <w:r>
        <w:rPr>
          <w:lang w:val="fr-FR"/>
        </w:rPr>
        <w:t>37</w:t>
      </w:r>
      <w:r w:rsidRPr="00C01637">
        <w:rPr>
          <w:lang w:val="fr-FR"/>
        </w:rPr>
        <w:t>.  Le requérant considère également qu</w:t>
      </w:r>
      <w:r w:rsidR="00B42F86">
        <w:rPr>
          <w:lang w:val="fr-FR"/>
        </w:rPr>
        <w:t>’</w:t>
      </w:r>
      <w:r w:rsidRPr="00C01637">
        <w:rPr>
          <w:lang w:val="fr-FR"/>
        </w:rPr>
        <w:t>il n</w:t>
      </w:r>
      <w:r w:rsidR="00B42F86">
        <w:rPr>
          <w:lang w:val="fr-FR"/>
        </w:rPr>
        <w:t>’</w:t>
      </w:r>
      <w:r w:rsidRPr="00C01637">
        <w:rPr>
          <w:lang w:val="fr-FR"/>
        </w:rPr>
        <w:t>a pas bénéficié d</w:t>
      </w:r>
      <w:r w:rsidR="00B42F86">
        <w:rPr>
          <w:lang w:val="fr-FR"/>
        </w:rPr>
        <w:t>’</w:t>
      </w:r>
      <w:r w:rsidRPr="00C01637">
        <w:rPr>
          <w:lang w:val="fr-FR"/>
        </w:rPr>
        <w:t>un examen serein et impartial de sa cause. Il se réfère au « climat » dans lequel la procédure disciplinaire s</w:t>
      </w:r>
      <w:r w:rsidR="00B42F86">
        <w:rPr>
          <w:lang w:val="fr-FR"/>
        </w:rPr>
        <w:t>’</w:t>
      </w:r>
      <w:r w:rsidRPr="00C01637">
        <w:rPr>
          <w:lang w:val="fr-FR"/>
        </w:rPr>
        <w:t>est déroulée et affirme que le principe de l</w:t>
      </w:r>
      <w:r w:rsidR="00B42F86">
        <w:rPr>
          <w:lang w:val="fr-FR"/>
        </w:rPr>
        <w:t>’</w:t>
      </w:r>
      <w:r w:rsidRPr="00C01637">
        <w:rPr>
          <w:lang w:val="fr-FR"/>
        </w:rPr>
        <w:t>égalité des armes n</w:t>
      </w:r>
      <w:r w:rsidR="00B42F86">
        <w:rPr>
          <w:lang w:val="fr-FR"/>
        </w:rPr>
        <w:t>’</w:t>
      </w:r>
      <w:r w:rsidRPr="00C01637">
        <w:rPr>
          <w:lang w:val="fr-FR"/>
        </w:rPr>
        <w:t>a pas été respecté. En particulier, le requérant se serait heurté à l</w:t>
      </w:r>
      <w:r w:rsidR="00B42F86">
        <w:rPr>
          <w:lang w:val="fr-FR"/>
        </w:rPr>
        <w:t>’</w:t>
      </w:r>
      <w:r w:rsidRPr="00C01637">
        <w:rPr>
          <w:lang w:val="fr-FR"/>
        </w:rPr>
        <w:t>obstructionnisme du personnel de l</w:t>
      </w:r>
      <w:r w:rsidR="00B42F86">
        <w:rPr>
          <w:lang w:val="fr-FR"/>
        </w:rPr>
        <w:t>’</w:t>
      </w:r>
      <w:r w:rsidRPr="00C01637">
        <w:rPr>
          <w:lang w:val="fr-FR"/>
        </w:rPr>
        <w:t>université, aurait subi des « pressions matérielles et morales », et n</w:t>
      </w:r>
      <w:r w:rsidR="00B42F86">
        <w:rPr>
          <w:lang w:val="fr-FR"/>
        </w:rPr>
        <w:t>’</w:t>
      </w:r>
      <w:r w:rsidRPr="00C01637">
        <w:rPr>
          <w:lang w:val="fr-FR"/>
        </w:rPr>
        <w:t>aurait pu ni demander la convocation de témoins ni écouter ceux qui l</w:t>
      </w:r>
      <w:r w:rsidR="00B42F86">
        <w:rPr>
          <w:lang w:val="fr-FR"/>
        </w:rPr>
        <w:t>’</w:t>
      </w:r>
      <w:r w:rsidRPr="00C01637">
        <w:rPr>
          <w:lang w:val="fr-FR"/>
        </w:rPr>
        <w:t>accusaient. La procédure devant les juridictions administratives n</w:t>
      </w:r>
      <w:r w:rsidR="00B42F86">
        <w:rPr>
          <w:lang w:val="fr-FR"/>
        </w:rPr>
        <w:t>’</w:t>
      </w:r>
      <w:r w:rsidRPr="00C01637">
        <w:rPr>
          <w:lang w:val="fr-FR"/>
        </w:rPr>
        <w:t>aurait pas été équitable, au motif que le TAR et le Conseil d</w:t>
      </w:r>
      <w:r w:rsidR="00B42F86">
        <w:rPr>
          <w:lang w:val="fr-FR"/>
        </w:rPr>
        <w:t>’</w:t>
      </w:r>
      <w:r w:rsidRPr="00C01637">
        <w:rPr>
          <w:lang w:val="fr-FR"/>
        </w:rPr>
        <w:t>État pouvaient uniquement examiner les documents de la cause, sans avoir la faculté de convoquer des témoins. De plus, la participation personnelle des parties à l</w:t>
      </w:r>
      <w:r w:rsidR="00B42F86">
        <w:rPr>
          <w:lang w:val="fr-FR"/>
        </w:rPr>
        <w:t>’</w:t>
      </w:r>
      <w:r w:rsidRPr="00C01637">
        <w:rPr>
          <w:lang w:val="fr-FR"/>
        </w:rPr>
        <w:t xml:space="preserve">audience </w:t>
      </w:r>
      <w:r>
        <w:rPr>
          <w:lang w:val="fr-FR"/>
        </w:rPr>
        <w:t xml:space="preserve">y </w:t>
      </w:r>
      <w:r w:rsidRPr="00C01637">
        <w:rPr>
          <w:lang w:val="fr-FR"/>
        </w:rPr>
        <w:t>était exclue.</w:t>
      </w:r>
    </w:p>
    <w:p w:rsidR="00786D0F" w:rsidRPr="00C01637" w:rsidRDefault="00786D0F" w:rsidP="00786D0F">
      <w:pPr>
        <w:pStyle w:val="ECHRPara"/>
        <w:rPr>
          <w:lang w:val="fr-FR"/>
        </w:rPr>
      </w:pPr>
      <w:r>
        <w:rPr>
          <w:lang w:val="fr-FR"/>
        </w:rPr>
        <w:t>38</w:t>
      </w:r>
      <w:r w:rsidRPr="00C01637">
        <w:rPr>
          <w:lang w:val="fr-FR"/>
        </w:rPr>
        <w:t>.  Selon le requérant, les autorités nationales n</w:t>
      </w:r>
      <w:r w:rsidR="00B42F86">
        <w:rPr>
          <w:lang w:val="fr-FR"/>
        </w:rPr>
        <w:t>’</w:t>
      </w:r>
      <w:r w:rsidRPr="00C01637">
        <w:rPr>
          <w:lang w:val="fr-FR"/>
        </w:rPr>
        <w:t>ont pas dûment tenu compte du fait que le premier décret du recteur avait appliqué une sanction (l</w:t>
      </w:r>
      <w:r w:rsidR="00B42F86">
        <w:rPr>
          <w:lang w:val="fr-FR"/>
        </w:rPr>
        <w:t>’</w:t>
      </w:r>
      <w:r w:rsidRPr="00C01637">
        <w:rPr>
          <w:lang w:val="fr-FR"/>
        </w:rPr>
        <w:t>exclusion sans limites temporelles) non prévue par la loi. En outre, dans le cadre de la procédure qui a conduit à l</w:t>
      </w:r>
      <w:r w:rsidR="00B42F86">
        <w:rPr>
          <w:lang w:val="fr-FR"/>
        </w:rPr>
        <w:t>’</w:t>
      </w:r>
      <w:r w:rsidRPr="00C01637">
        <w:rPr>
          <w:lang w:val="fr-FR"/>
        </w:rPr>
        <w:t xml:space="preserve">adoption du deuxième décret du recteur, </w:t>
      </w:r>
      <w:r>
        <w:rPr>
          <w:lang w:val="fr-FR"/>
        </w:rPr>
        <w:t>il</w:t>
      </w:r>
      <w:r w:rsidRPr="00C01637">
        <w:rPr>
          <w:lang w:val="fr-FR"/>
        </w:rPr>
        <w:t xml:space="preserve"> n</w:t>
      </w:r>
      <w:r w:rsidR="00B42F86">
        <w:rPr>
          <w:lang w:val="fr-FR"/>
        </w:rPr>
        <w:t>’</w:t>
      </w:r>
      <w:r w:rsidRPr="00C01637">
        <w:rPr>
          <w:lang w:val="fr-FR"/>
        </w:rPr>
        <w:t>a pas été convoqué devant la commission de discipline, et n</w:t>
      </w:r>
      <w:r w:rsidR="00B42F86">
        <w:rPr>
          <w:lang w:val="fr-FR"/>
        </w:rPr>
        <w:t>’</w:t>
      </w:r>
      <w:r w:rsidRPr="00C01637">
        <w:rPr>
          <w:lang w:val="fr-FR"/>
        </w:rPr>
        <w:t>a donc pas pu présenter ses défenses quant à l</w:t>
      </w:r>
      <w:r w:rsidR="00B42F86">
        <w:rPr>
          <w:lang w:val="fr-FR"/>
        </w:rPr>
        <w:t>’</w:t>
      </w:r>
      <w:r w:rsidRPr="00C01637">
        <w:rPr>
          <w:lang w:val="fr-FR"/>
        </w:rPr>
        <w:t>opportunité et à l</w:t>
      </w:r>
      <w:r w:rsidR="00B42F86">
        <w:rPr>
          <w:lang w:val="fr-FR"/>
        </w:rPr>
        <w:t>’</w:t>
      </w:r>
      <w:r>
        <w:rPr>
          <w:lang w:val="fr-FR"/>
        </w:rPr>
        <w:t>échelle</w:t>
      </w:r>
      <w:r w:rsidRPr="00C01637">
        <w:rPr>
          <w:lang w:val="fr-FR"/>
        </w:rPr>
        <w:t xml:space="preserve"> de la sanction.</w:t>
      </w:r>
    </w:p>
    <w:p w:rsidR="0092451F" w:rsidRDefault="00786D0F" w:rsidP="00786D0F">
      <w:pPr>
        <w:pStyle w:val="ECHRPara"/>
        <w:rPr>
          <w:lang w:val="fr-FR"/>
        </w:rPr>
      </w:pPr>
      <w:r>
        <w:rPr>
          <w:lang w:val="fr-FR"/>
        </w:rPr>
        <w:t>39</w:t>
      </w:r>
      <w:r w:rsidRPr="00C01637">
        <w:rPr>
          <w:lang w:val="fr-FR"/>
        </w:rPr>
        <w:t>.  Le requérant se plaint enfin du fait que la commission de discipline a entendu un seul témoin, sans permettre à l</w:t>
      </w:r>
      <w:r w:rsidR="00B42F86">
        <w:rPr>
          <w:lang w:val="fr-FR"/>
        </w:rPr>
        <w:t>’</w:t>
      </w:r>
      <w:r w:rsidRPr="00C01637">
        <w:rPr>
          <w:lang w:val="fr-FR"/>
        </w:rPr>
        <w:t>« accusé » ou à son représentant de poser des questions à W ou aux autres « accusateurs », et que, sans autorisation de leur auteur, elle a utilisé pour décider du bien-fondé de la reproche disciplinaire des courriels privés adressés à certains professeurs. Au demeurant, tout reproche fait serait, sur le fond, dépourvu de fondement.</w:t>
      </w:r>
    </w:p>
    <w:p w:rsidR="00786D0F" w:rsidRPr="00C01637" w:rsidRDefault="00786D0F" w:rsidP="00786D0F">
      <w:pPr>
        <w:pStyle w:val="ECHRHeading3"/>
        <w:rPr>
          <w:lang w:val="fr-FR"/>
        </w:rPr>
      </w:pPr>
      <w:r w:rsidRPr="00C01637">
        <w:rPr>
          <w:lang w:val="fr-FR"/>
        </w:rPr>
        <w:t>2.  L</w:t>
      </w:r>
      <w:r w:rsidR="00B42F86">
        <w:rPr>
          <w:lang w:val="fr-FR"/>
        </w:rPr>
        <w:t>’</w:t>
      </w:r>
      <w:r w:rsidRPr="00C01637">
        <w:rPr>
          <w:lang w:val="fr-FR"/>
        </w:rPr>
        <w:t>appréciation de la Cour</w:t>
      </w:r>
    </w:p>
    <w:p w:rsidR="00786D0F" w:rsidRPr="00C01637" w:rsidRDefault="00786D0F" w:rsidP="00786D0F">
      <w:pPr>
        <w:pStyle w:val="ECHRHeading4"/>
        <w:rPr>
          <w:lang w:val="fr-FR"/>
        </w:rPr>
      </w:pPr>
      <w:r w:rsidRPr="00C01637">
        <w:rPr>
          <w:lang w:val="fr-FR"/>
        </w:rPr>
        <w:t>a)  Sur l</w:t>
      </w:r>
      <w:r w:rsidR="00B42F86">
        <w:rPr>
          <w:lang w:val="fr-FR"/>
        </w:rPr>
        <w:t>’</w:t>
      </w:r>
      <w:r w:rsidRPr="00C01637">
        <w:rPr>
          <w:lang w:val="fr-FR"/>
        </w:rPr>
        <w:t>applicabilité de l</w:t>
      </w:r>
      <w:r w:rsidR="00B42F86">
        <w:rPr>
          <w:lang w:val="fr-FR"/>
        </w:rPr>
        <w:t>’</w:t>
      </w:r>
      <w:r w:rsidRPr="00C01637">
        <w:rPr>
          <w:lang w:val="fr-FR"/>
        </w:rPr>
        <w:t>article 6 de la Convention</w:t>
      </w:r>
    </w:p>
    <w:p w:rsidR="00786D0F" w:rsidRPr="00C01637" w:rsidRDefault="00786D0F" w:rsidP="00786D0F">
      <w:pPr>
        <w:pStyle w:val="ECHRPara"/>
        <w:rPr>
          <w:lang w:val="fr-FR"/>
        </w:rPr>
      </w:pPr>
      <w:r>
        <w:rPr>
          <w:lang w:val="fr-FR"/>
        </w:rPr>
        <w:t>40</w:t>
      </w:r>
      <w:r w:rsidRPr="00C01637">
        <w:rPr>
          <w:lang w:val="fr-FR"/>
        </w:rPr>
        <w:t>.  La Cour observe à titre liminaire que la procédure litigieuse ne portait pas sur le bien-fondé d</w:t>
      </w:r>
      <w:r w:rsidR="00B42F86">
        <w:rPr>
          <w:lang w:val="fr-FR"/>
        </w:rPr>
        <w:t>’</w:t>
      </w:r>
      <w:r w:rsidRPr="00C01637">
        <w:rPr>
          <w:lang w:val="fr-FR"/>
        </w:rPr>
        <w:t>une accusation en matière pénale à l</w:t>
      </w:r>
      <w:r w:rsidR="00B42F86">
        <w:rPr>
          <w:lang w:val="fr-FR"/>
        </w:rPr>
        <w:t>’</w:t>
      </w:r>
      <w:r w:rsidRPr="00C01637">
        <w:rPr>
          <w:lang w:val="fr-FR"/>
        </w:rPr>
        <w:t xml:space="preserve">encontre du requérant (voir, par exemple et </w:t>
      </w:r>
      <w:r w:rsidRPr="00C01637">
        <w:rPr>
          <w:i/>
          <w:lang w:val="fr-FR"/>
        </w:rPr>
        <w:t>mutatis mutandis</w:t>
      </w:r>
      <w:r w:rsidRPr="00C01637">
        <w:rPr>
          <w:lang w:val="fr-FR"/>
        </w:rPr>
        <w:t xml:space="preserve">, </w:t>
      </w:r>
      <w:r w:rsidRPr="00C01637">
        <w:rPr>
          <w:i/>
          <w:lang w:val="fr-FR"/>
        </w:rPr>
        <w:t>Di Giovanni c. Italie</w:t>
      </w:r>
      <w:r w:rsidRPr="00C01637">
        <w:rPr>
          <w:lang w:val="fr-FR"/>
        </w:rPr>
        <w:t>, n</w:t>
      </w:r>
      <w:r w:rsidR="0092451F" w:rsidRPr="0092451F">
        <w:rPr>
          <w:vertAlign w:val="superscript"/>
          <w:lang w:val="fr-FR"/>
        </w:rPr>
        <w:t>o</w:t>
      </w:r>
      <w:r w:rsidRPr="00C01637">
        <w:rPr>
          <w:lang w:val="fr-FR"/>
        </w:rPr>
        <w:t> 51160/06, § 35, 9 juillet 2013). Pour parvenir à cette conclusion, la Cour a eu égard aux critères se dégageant de sa jurisprudence, à savoir la qualification juridique de la mesure litigieuse en droit national, la nature même de celle-ci, et la nature et le degré de sévérité de la « sanction » (</w:t>
      </w:r>
      <w:r w:rsidRPr="00C01637">
        <w:rPr>
          <w:i/>
          <w:lang w:val="fr-FR"/>
        </w:rPr>
        <w:t>Engel et autres c. Pays-Bas</w:t>
      </w:r>
      <w:r w:rsidRPr="00C01637">
        <w:rPr>
          <w:lang w:val="fr-FR"/>
        </w:rPr>
        <w:t>, 8 juin 1976, § 82, série A n</w:t>
      </w:r>
      <w:r w:rsidR="0092451F" w:rsidRPr="0092451F">
        <w:rPr>
          <w:vertAlign w:val="superscript"/>
          <w:lang w:val="fr-FR"/>
        </w:rPr>
        <w:t>o</w:t>
      </w:r>
      <w:r w:rsidRPr="00C01637">
        <w:rPr>
          <w:lang w:val="fr-FR"/>
        </w:rPr>
        <w:t xml:space="preserve"> 22). La Cour se borne à observer que le faits reprochés au requérant relevaient du domaine disciplinaire, que la sanction infligée visait manifestement à maintenir l</w:t>
      </w:r>
      <w:r w:rsidR="00B42F86">
        <w:rPr>
          <w:lang w:val="fr-FR"/>
        </w:rPr>
        <w:t>’</w:t>
      </w:r>
      <w:r w:rsidRPr="00C01637">
        <w:rPr>
          <w:lang w:val="fr-FR"/>
        </w:rPr>
        <w:t>ordre et la discipline au sein de l</w:t>
      </w:r>
      <w:r w:rsidR="00B42F86">
        <w:rPr>
          <w:lang w:val="fr-FR"/>
        </w:rPr>
        <w:t>’</w:t>
      </w:r>
      <w:r w:rsidRPr="00C01637">
        <w:rPr>
          <w:lang w:val="fr-FR"/>
        </w:rPr>
        <w:t>université et que le requérant ne risquait pas d</w:t>
      </w:r>
      <w:r w:rsidR="00B42F86">
        <w:rPr>
          <w:lang w:val="fr-FR"/>
        </w:rPr>
        <w:t>’</w:t>
      </w:r>
      <w:r w:rsidRPr="00C01637">
        <w:rPr>
          <w:lang w:val="fr-FR"/>
        </w:rPr>
        <w:t>encourir une peine privative de liberté ou de nature pécuniaire. Dès lors, les paragraphes 2 et 3 de l</w:t>
      </w:r>
      <w:r w:rsidR="00B42F86">
        <w:rPr>
          <w:lang w:val="fr-FR"/>
        </w:rPr>
        <w:t>’</w:t>
      </w:r>
      <w:r w:rsidRPr="00C01637">
        <w:rPr>
          <w:lang w:val="fr-FR"/>
        </w:rPr>
        <w:t xml:space="preserve">article 6 de la Convention sont inapplicables </w:t>
      </w:r>
      <w:r w:rsidRPr="00C01637">
        <w:rPr>
          <w:lang w:val="fr-FR"/>
        </w:rPr>
        <w:lastRenderedPageBreak/>
        <w:t>en l</w:t>
      </w:r>
      <w:r w:rsidR="00B42F86">
        <w:rPr>
          <w:lang w:val="fr-FR"/>
        </w:rPr>
        <w:t>’</w:t>
      </w:r>
      <w:r w:rsidRPr="00C01637">
        <w:rPr>
          <w:lang w:val="fr-FR"/>
        </w:rPr>
        <w:t>espèce. La Cour doit en revanche établir si l</w:t>
      </w:r>
      <w:r w:rsidR="00B42F86">
        <w:rPr>
          <w:lang w:val="fr-FR"/>
        </w:rPr>
        <w:t>’</w:t>
      </w:r>
      <w:r w:rsidRPr="00C01637">
        <w:rPr>
          <w:lang w:val="fr-FR"/>
        </w:rPr>
        <w:t>article 6 § 1 trouve à s</w:t>
      </w:r>
      <w:r w:rsidR="00B42F86">
        <w:rPr>
          <w:lang w:val="fr-FR"/>
        </w:rPr>
        <w:t>’</w:t>
      </w:r>
      <w:r w:rsidRPr="00C01637">
        <w:rPr>
          <w:lang w:val="fr-FR"/>
        </w:rPr>
        <w:t>appliquer sous son volet civil.</w:t>
      </w:r>
    </w:p>
    <w:p w:rsidR="00786D0F" w:rsidRPr="00C01637" w:rsidRDefault="00786D0F" w:rsidP="00786D0F">
      <w:pPr>
        <w:pStyle w:val="ECHRPara"/>
        <w:rPr>
          <w:lang w:val="fr-FR"/>
        </w:rPr>
      </w:pPr>
      <w:r>
        <w:rPr>
          <w:lang w:val="fr-FR"/>
        </w:rPr>
        <w:t>41</w:t>
      </w:r>
      <w:r w:rsidRPr="00C01637">
        <w:rPr>
          <w:lang w:val="fr-FR"/>
        </w:rPr>
        <w:t>.  La Cour observe qu</w:t>
      </w:r>
      <w:r w:rsidR="00B42F86">
        <w:rPr>
          <w:lang w:val="fr-FR"/>
        </w:rPr>
        <w:t>’</w:t>
      </w:r>
      <w:r w:rsidRPr="00C01637">
        <w:rPr>
          <w:lang w:val="fr-FR"/>
        </w:rPr>
        <w:t>aux termes de l</w:t>
      </w:r>
      <w:r w:rsidR="00B42F86">
        <w:rPr>
          <w:lang w:val="fr-FR"/>
        </w:rPr>
        <w:t>’</w:t>
      </w:r>
      <w:r w:rsidRPr="00C01637">
        <w:rPr>
          <w:lang w:val="fr-FR"/>
        </w:rPr>
        <w:t>article 16 § 2 du décret-loi royal n</w:t>
      </w:r>
      <w:r w:rsidR="0092451F" w:rsidRPr="0092451F">
        <w:rPr>
          <w:vertAlign w:val="superscript"/>
          <w:lang w:val="fr-FR"/>
        </w:rPr>
        <w:t>o</w:t>
      </w:r>
      <w:r w:rsidRPr="00C01637">
        <w:rPr>
          <w:lang w:val="fr-FR"/>
        </w:rPr>
        <w:t xml:space="preserve"> 1071 de 1935 (paragraphe </w:t>
      </w:r>
      <w:r>
        <w:rPr>
          <w:lang w:val="fr-FR"/>
        </w:rPr>
        <w:t>28</w:t>
      </w:r>
      <w:r w:rsidRPr="00C01637">
        <w:rPr>
          <w:lang w:val="fr-FR"/>
        </w:rPr>
        <w:t xml:space="preserve"> ci-dessus), la procédure disciplinaire à l</w:t>
      </w:r>
      <w:r w:rsidR="00B42F86">
        <w:rPr>
          <w:lang w:val="fr-FR"/>
        </w:rPr>
        <w:t>’</w:t>
      </w:r>
      <w:r w:rsidRPr="00C01637">
        <w:rPr>
          <w:lang w:val="fr-FR"/>
        </w:rPr>
        <w:t>encontre du requérant aurait pu aboutir à différentes sanctions allant du simple avertissement à la suspension pour un ou plusieurs examens ou, même, à l</w:t>
      </w:r>
      <w:r w:rsidR="00B42F86">
        <w:rPr>
          <w:lang w:val="fr-FR"/>
        </w:rPr>
        <w:t>’</w:t>
      </w:r>
      <w:r w:rsidRPr="00C01637">
        <w:rPr>
          <w:lang w:val="fr-FR"/>
        </w:rPr>
        <w:t>exclusion temporaire de l</w:t>
      </w:r>
      <w:r w:rsidR="00B42F86">
        <w:rPr>
          <w:lang w:val="fr-FR"/>
        </w:rPr>
        <w:t>’</w:t>
      </w:r>
      <w:r w:rsidRPr="00C01637">
        <w:rPr>
          <w:lang w:val="fr-FR"/>
        </w:rPr>
        <w:t>université. Cette dernière sanction a été finalement infligée à l</w:t>
      </w:r>
      <w:r w:rsidR="00B42F86">
        <w:rPr>
          <w:lang w:val="fr-FR"/>
        </w:rPr>
        <w:t>’</w:t>
      </w:r>
      <w:r w:rsidRPr="00C01637">
        <w:rPr>
          <w:lang w:val="fr-FR"/>
        </w:rPr>
        <w:t>intéressé. Dans ces conditions, la Cour considère que compte tenu des sanctions susceptibles d</w:t>
      </w:r>
      <w:r w:rsidR="00B42F86">
        <w:rPr>
          <w:lang w:val="fr-FR"/>
        </w:rPr>
        <w:t>’</w:t>
      </w:r>
      <w:r w:rsidRPr="00C01637">
        <w:rPr>
          <w:lang w:val="fr-FR"/>
        </w:rPr>
        <w:t>être prononcées par le recteur, le droit du requérant de poursuivre les études universitaires qu</w:t>
      </w:r>
      <w:r w:rsidR="00B42F86">
        <w:rPr>
          <w:lang w:val="fr-FR"/>
        </w:rPr>
        <w:t>’</w:t>
      </w:r>
      <w:r w:rsidRPr="00C01637">
        <w:rPr>
          <w:lang w:val="fr-FR"/>
        </w:rPr>
        <w:t>il avait commencées à la faculté de psychologie de l</w:t>
      </w:r>
      <w:r w:rsidR="00B42F86">
        <w:rPr>
          <w:lang w:val="fr-FR"/>
        </w:rPr>
        <w:t>’</w:t>
      </w:r>
      <w:r w:rsidRPr="00C01637">
        <w:rPr>
          <w:lang w:val="fr-FR"/>
        </w:rPr>
        <w:t>université de Naples était en jeu en l</w:t>
      </w:r>
      <w:r w:rsidR="00B42F86">
        <w:rPr>
          <w:lang w:val="fr-FR"/>
        </w:rPr>
        <w:t>’</w:t>
      </w:r>
      <w:r w:rsidRPr="00C01637">
        <w:rPr>
          <w:lang w:val="fr-FR"/>
        </w:rPr>
        <w:t xml:space="preserve">espèce (voir, </w:t>
      </w:r>
      <w:r w:rsidRPr="00C01637">
        <w:rPr>
          <w:i/>
          <w:lang w:val="fr-FR"/>
        </w:rPr>
        <w:t>mutatis mutandis</w:t>
      </w:r>
      <w:r w:rsidRPr="00C01637">
        <w:rPr>
          <w:lang w:val="fr-FR"/>
        </w:rPr>
        <w:t xml:space="preserve">, </w:t>
      </w:r>
      <w:r w:rsidRPr="00C01637">
        <w:rPr>
          <w:i/>
          <w:lang w:val="fr-FR"/>
        </w:rPr>
        <w:t>Di Giovanni</w:t>
      </w:r>
      <w:r w:rsidRPr="00C01637">
        <w:rPr>
          <w:lang w:val="fr-FR"/>
        </w:rPr>
        <w:t>, précité, § 36).</w:t>
      </w:r>
    </w:p>
    <w:p w:rsidR="00786D0F" w:rsidRPr="00C01637" w:rsidRDefault="00786D0F" w:rsidP="00786D0F">
      <w:pPr>
        <w:pStyle w:val="ECHRPara"/>
        <w:rPr>
          <w:lang w:val="fr-FR"/>
        </w:rPr>
      </w:pPr>
      <w:r>
        <w:rPr>
          <w:lang w:val="fr-FR"/>
        </w:rPr>
        <w:t>42</w:t>
      </w:r>
      <w:r w:rsidRPr="00C01637">
        <w:rPr>
          <w:lang w:val="fr-FR"/>
        </w:rPr>
        <w:t>.  Or, dans l</w:t>
      </w:r>
      <w:r w:rsidR="00B42F86">
        <w:rPr>
          <w:lang w:val="fr-FR"/>
        </w:rPr>
        <w:t>’</w:t>
      </w:r>
      <w:r w:rsidRPr="00C01637">
        <w:rPr>
          <w:lang w:val="fr-FR"/>
        </w:rPr>
        <w:t xml:space="preserve">affaire </w:t>
      </w:r>
      <w:r w:rsidRPr="00C01637">
        <w:rPr>
          <w:i/>
          <w:lang w:val="fr-FR"/>
        </w:rPr>
        <w:t>Emine Ara</w:t>
      </w:r>
      <w:r w:rsidRPr="00C01637">
        <w:rPr>
          <w:rFonts w:cstheme="minorHAnsi"/>
          <w:i/>
          <w:lang w:val="fr-FR"/>
        </w:rPr>
        <w:t>ç</w:t>
      </w:r>
      <w:r w:rsidRPr="00C01637">
        <w:rPr>
          <w:i/>
          <w:lang w:val="fr-FR"/>
        </w:rPr>
        <w:t xml:space="preserve"> c. Turquie</w:t>
      </w:r>
      <w:r w:rsidRPr="00C01637">
        <w:rPr>
          <w:lang w:val="fr-FR"/>
        </w:rPr>
        <w:t xml:space="preserve"> (n</w:t>
      </w:r>
      <w:r w:rsidR="0092451F" w:rsidRPr="0092451F">
        <w:rPr>
          <w:vertAlign w:val="superscript"/>
          <w:lang w:val="fr-FR"/>
        </w:rPr>
        <w:t>o</w:t>
      </w:r>
      <w:r w:rsidRPr="00C01637">
        <w:rPr>
          <w:lang w:val="fr-FR"/>
        </w:rPr>
        <w:t xml:space="preserve"> 9907/02, §§ 15-25, CEDH 2008), la Cour a estimé que le droit de la requérante, usagère d</w:t>
      </w:r>
      <w:r w:rsidR="00B42F86">
        <w:rPr>
          <w:lang w:val="fr-FR"/>
        </w:rPr>
        <w:t>’</w:t>
      </w:r>
      <w:r w:rsidRPr="00C01637">
        <w:rPr>
          <w:lang w:val="fr-FR"/>
        </w:rPr>
        <w:t>un service public, à poursuivre ses études supérieurs à la faculté de théologie relevait des droits de la personne de l</w:t>
      </w:r>
      <w:r w:rsidR="00B42F86">
        <w:rPr>
          <w:lang w:val="fr-FR"/>
        </w:rPr>
        <w:t>’</w:t>
      </w:r>
      <w:r w:rsidRPr="00C01637">
        <w:rPr>
          <w:lang w:val="fr-FR"/>
        </w:rPr>
        <w:t>intéressée et revêtait donc un caractère civil (voir également l</w:t>
      </w:r>
      <w:r w:rsidR="00B42F86">
        <w:rPr>
          <w:lang w:val="fr-FR"/>
        </w:rPr>
        <w:t>’</w:t>
      </w:r>
      <w:r w:rsidRPr="00C01637">
        <w:rPr>
          <w:lang w:val="fr-FR"/>
        </w:rPr>
        <w:t>arrêt dans l</w:t>
      </w:r>
      <w:r w:rsidR="00B42F86">
        <w:rPr>
          <w:lang w:val="fr-FR"/>
        </w:rPr>
        <w:t>’</w:t>
      </w:r>
      <w:r w:rsidRPr="00C01637">
        <w:rPr>
          <w:lang w:val="fr-FR"/>
        </w:rPr>
        <w:t xml:space="preserve">affaire </w:t>
      </w:r>
      <w:r w:rsidRPr="00C01637">
        <w:rPr>
          <w:i/>
          <w:lang w:val="fr-FR"/>
        </w:rPr>
        <w:t>Kök c. Turquie</w:t>
      </w:r>
      <w:r w:rsidRPr="00C01637">
        <w:rPr>
          <w:lang w:val="fr-FR"/>
        </w:rPr>
        <w:t xml:space="preserve"> (n</w:t>
      </w:r>
      <w:r w:rsidR="0092451F" w:rsidRPr="0092451F">
        <w:rPr>
          <w:vertAlign w:val="superscript"/>
          <w:lang w:val="fr-FR"/>
        </w:rPr>
        <w:t>o</w:t>
      </w:r>
      <w:r w:rsidRPr="00C01637">
        <w:rPr>
          <w:lang w:val="fr-FR"/>
        </w:rPr>
        <w:t> 1855/02, § 36, 19 octobre 2006), où la Cour a conclu à l</w:t>
      </w:r>
      <w:r w:rsidR="00B42F86">
        <w:rPr>
          <w:lang w:val="fr-FR"/>
        </w:rPr>
        <w:t>’</w:t>
      </w:r>
      <w:r w:rsidRPr="00C01637">
        <w:rPr>
          <w:lang w:val="fr-FR"/>
        </w:rPr>
        <w:t>applicabilité de l</w:t>
      </w:r>
      <w:r w:rsidR="00B42F86">
        <w:rPr>
          <w:lang w:val="fr-FR"/>
        </w:rPr>
        <w:t>’</w:t>
      </w:r>
      <w:r w:rsidRPr="00C01637">
        <w:rPr>
          <w:lang w:val="fr-FR"/>
        </w:rPr>
        <w:t>article 6 à un litige concernant l</w:t>
      </w:r>
      <w:r w:rsidR="00B42F86">
        <w:rPr>
          <w:lang w:val="fr-FR"/>
        </w:rPr>
        <w:t>’</w:t>
      </w:r>
      <w:r w:rsidRPr="00C01637">
        <w:rPr>
          <w:lang w:val="fr-FR"/>
        </w:rPr>
        <w:t>annulation du rejet d</w:t>
      </w:r>
      <w:r w:rsidR="00B42F86">
        <w:rPr>
          <w:lang w:val="fr-FR"/>
        </w:rPr>
        <w:t>’</w:t>
      </w:r>
      <w:r w:rsidRPr="00C01637">
        <w:rPr>
          <w:lang w:val="fr-FR"/>
        </w:rPr>
        <w:t>une demande d</w:t>
      </w:r>
      <w:r w:rsidR="00B42F86">
        <w:rPr>
          <w:lang w:val="fr-FR"/>
        </w:rPr>
        <w:t>’</w:t>
      </w:r>
      <w:r w:rsidRPr="00C01637">
        <w:rPr>
          <w:lang w:val="fr-FR"/>
        </w:rPr>
        <w:t>admission à la spécialisation en médecine). Aux yeux de la Cour, rien ne permet de parvenir à des conclusions différentes en la présente affaire. Au demeurant, la Cour souligne que la régularité de la procédure disciplinaire se prêtait à un recours judiciaire, qui a été exercé par le requérant. Une « contestation » relative à un « droit de caractère civil » a donc surgi en l</w:t>
      </w:r>
      <w:r w:rsidR="00B42F86">
        <w:rPr>
          <w:lang w:val="fr-FR"/>
        </w:rPr>
        <w:t>’</w:t>
      </w:r>
      <w:r w:rsidRPr="00C01637">
        <w:rPr>
          <w:lang w:val="fr-FR"/>
        </w:rPr>
        <w:t>occurrence et a été tranchée par les juridictions administratives.</w:t>
      </w:r>
    </w:p>
    <w:p w:rsidR="00786D0F" w:rsidRPr="00C01637" w:rsidRDefault="00786D0F" w:rsidP="00786D0F">
      <w:pPr>
        <w:pStyle w:val="ECHRPara"/>
        <w:rPr>
          <w:rFonts w:ascii="Times New Roman" w:eastAsia="Times New Roman" w:hAnsi="Times New Roman" w:cs="Times New Roman"/>
          <w:lang w:val="fr-FR" w:eastAsia="fr-FR"/>
        </w:rPr>
      </w:pPr>
      <w:r>
        <w:rPr>
          <w:lang w:val="fr-FR"/>
        </w:rPr>
        <w:t>43</w:t>
      </w:r>
      <w:r w:rsidRPr="00C01637">
        <w:rPr>
          <w:lang w:val="fr-FR"/>
        </w:rPr>
        <w:t>.  Dès lors, l</w:t>
      </w:r>
      <w:r w:rsidR="00B42F86">
        <w:rPr>
          <w:lang w:val="fr-FR"/>
        </w:rPr>
        <w:t>’</w:t>
      </w:r>
      <w:r w:rsidRPr="00C01637">
        <w:rPr>
          <w:lang w:val="fr-FR"/>
        </w:rPr>
        <w:t>article 6 trouve à s</w:t>
      </w:r>
      <w:r w:rsidR="00B42F86">
        <w:rPr>
          <w:lang w:val="fr-FR"/>
        </w:rPr>
        <w:t>’</w:t>
      </w:r>
      <w:r w:rsidRPr="00C01637">
        <w:rPr>
          <w:lang w:val="fr-FR"/>
        </w:rPr>
        <w:t>appliquer en l</w:t>
      </w:r>
      <w:r w:rsidR="00B42F86">
        <w:rPr>
          <w:lang w:val="fr-FR"/>
        </w:rPr>
        <w:t>’</w:t>
      </w:r>
      <w:r w:rsidRPr="00C01637">
        <w:rPr>
          <w:lang w:val="fr-FR"/>
        </w:rPr>
        <w:t>espèce dans son volet civil.</w:t>
      </w:r>
    </w:p>
    <w:p w:rsidR="00786D0F" w:rsidRPr="00C01637" w:rsidRDefault="00786D0F" w:rsidP="00786D0F">
      <w:pPr>
        <w:pStyle w:val="ECHRHeading4"/>
        <w:rPr>
          <w:lang w:val="fr-FR"/>
        </w:rPr>
      </w:pPr>
      <w:r w:rsidRPr="00C01637">
        <w:rPr>
          <w:lang w:val="fr-FR"/>
        </w:rPr>
        <w:t>b)  Sur la question de savoir si la procédure a été conforme à l</w:t>
      </w:r>
      <w:r w:rsidR="00B42F86">
        <w:rPr>
          <w:lang w:val="fr-FR"/>
        </w:rPr>
        <w:t>’</w:t>
      </w:r>
      <w:r w:rsidRPr="00C01637">
        <w:rPr>
          <w:lang w:val="fr-FR"/>
        </w:rPr>
        <w:t>article 6 de la Convention</w:t>
      </w:r>
    </w:p>
    <w:p w:rsidR="00786D0F" w:rsidRPr="00C01637" w:rsidRDefault="00786D0F" w:rsidP="00786D0F">
      <w:pPr>
        <w:pStyle w:val="ECHRHeading5"/>
        <w:rPr>
          <w:lang w:val="fr-FR"/>
        </w:rPr>
      </w:pPr>
      <w:r w:rsidRPr="00C01637">
        <w:rPr>
          <w:lang w:val="fr-FR"/>
        </w:rPr>
        <w:t>i.  Sur la composition de la commission de discipline</w:t>
      </w:r>
    </w:p>
    <w:p w:rsidR="00786D0F" w:rsidRPr="00C01637" w:rsidRDefault="00786D0F" w:rsidP="00786D0F">
      <w:pPr>
        <w:pStyle w:val="ECHRPara"/>
        <w:rPr>
          <w:lang w:val="fr-FR"/>
        </w:rPr>
      </w:pPr>
      <w:r>
        <w:rPr>
          <w:lang w:val="fr-FR"/>
        </w:rPr>
        <w:t>44</w:t>
      </w:r>
      <w:r w:rsidRPr="00C01637">
        <w:rPr>
          <w:lang w:val="fr-FR"/>
        </w:rPr>
        <w:t>.  La Cour examinera d</w:t>
      </w:r>
      <w:r w:rsidR="00B42F86">
        <w:rPr>
          <w:lang w:val="fr-FR"/>
        </w:rPr>
        <w:t>’</w:t>
      </w:r>
      <w:r w:rsidRPr="00C01637">
        <w:rPr>
          <w:lang w:val="fr-FR"/>
        </w:rPr>
        <w:t>abord l</w:t>
      </w:r>
      <w:r w:rsidR="00B42F86">
        <w:rPr>
          <w:lang w:val="fr-FR"/>
        </w:rPr>
        <w:t>’</w:t>
      </w:r>
      <w:r w:rsidRPr="00C01637">
        <w:rPr>
          <w:lang w:val="fr-FR"/>
        </w:rPr>
        <w:t>allégation du requérant selon laquelle la commission de discipline, un organe qui est intervenu dans le processus amenant à l</w:t>
      </w:r>
      <w:r w:rsidR="00B42F86">
        <w:rPr>
          <w:lang w:val="fr-FR"/>
        </w:rPr>
        <w:t>’</w:t>
      </w:r>
      <w:r w:rsidRPr="00C01637">
        <w:rPr>
          <w:lang w:val="fr-FR"/>
        </w:rPr>
        <w:t>infliction de la sanction disciplinaire, n</w:t>
      </w:r>
      <w:r w:rsidR="00B42F86">
        <w:rPr>
          <w:lang w:val="fr-FR"/>
        </w:rPr>
        <w:t>’</w:t>
      </w:r>
      <w:r w:rsidRPr="00C01637">
        <w:rPr>
          <w:lang w:val="fr-FR"/>
        </w:rPr>
        <w:t>était pas composée de manière conforme à la loi (paragraphe</w:t>
      </w:r>
      <w:r w:rsidR="00AD5A90">
        <w:rPr>
          <w:lang w:val="fr-FR"/>
        </w:rPr>
        <w:t xml:space="preserve"> </w:t>
      </w:r>
      <w:r>
        <w:rPr>
          <w:lang w:val="fr-FR"/>
        </w:rPr>
        <w:t>36</w:t>
      </w:r>
      <w:r w:rsidRPr="00C01637">
        <w:rPr>
          <w:lang w:val="fr-FR"/>
        </w:rPr>
        <w:t xml:space="preserve"> ci-dessus).</w:t>
      </w:r>
    </w:p>
    <w:p w:rsidR="00786D0F" w:rsidRPr="00C01637" w:rsidRDefault="00786D0F" w:rsidP="00786D0F">
      <w:pPr>
        <w:pStyle w:val="ECHRPara"/>
        <w:rPr>
          <w:lang w:val="fr-FR"/>
        </w:rPr>
      </w:pPr>
      <w:r>
        <w:rPr>
          <w:lang w:val="fr-FR"/>
        </w:rPr>
        <w:t>45</w:t>
      </w:r>
      <w:r w:rsidRPr="00C01637">
        <w:rPr>
          <w:lang w:val="fr-FR"/>
        </w:rPr>
        <w:t>.  Dans les circonstances de la présente affaire, la Cour n</w:t>
      </w:r>
      <w:r w:rsidR="00B42F86">
        <w:rPr>
          <w:lang w:val="fr-FR"/>
        </w:rPr>
        <w:t>’</w:t>
      </w:r>
      <w:r w:rsidRPr="00C01637">
        <w:rPr>
          <w:lang w:val="fr-FR"/>
        </w:rPr>
        <w:t>estime pas nécessaire de se pencher sur la question de savoir si en l</w:t>
      </w:r>
      <w:r w:rsidR="00B42F86">
        <w:rPr>
          <w:lang w:val="fr-FR"/>
        </w:rPr>
        <w:t>’</w:t>
      </w:r>
      <w:r w:rsidRPr="00C01637">
        <w:rPr>
          <w:lang w:val="fr-FR"/>
        </w:rPr>
        <w:t>espèce la commission de discipline pourrait être considérée comme un « tribunal » ayant décidé de la contestation sur les droits de caractère civil du requérant. En effet, même à</w:t>
      </w:r>
      <w:r w:rsidRPr="00C01637">
        <w:rPr>
          <w:rFonts w:cstheme="minorHAnsi"/>
          <w:lang w:val="fr-FR"/>
        </w:rPr>
        <w:t xml:space="preserve"> </w:t>
      </w:r>
      <w:r w:rsidRPr="00C01637">
        <w:rPr>
          <w:lang w:val="fr-FR"/>
        </w:rPr>
        <w:t>supposer que tel était le cas, les doléances du requérant sont de toute manière dépourvues de fondement, pour les raisons suivantes.</w:t>
      </w:r>
    </w:p>
    <w:p w:rsidR="00786D0F" w:rsidRPr="00C01637" w:rsidRDefault="00786D0F" w:rsidP="00786D0F">
      <w:pPr>
        <w:pStyle w:val="ECHRPara"/>
        <w:rPr>
          <w:lang w:val="fr-FR"/>
        </w:rPr>
      </w:pPr>
      <w:r>
        <w:rPr>
          <w:lang w:val="fr-FR"/>
        </w:rPr>
        <w:t>46</w:t>
      </w:r>
      <w:r w:rsidRPr="00C01637">
        <w:rPr>
          <w:lang w:val="fr-FR"/>
        </w:rPr>
        <w:t>.  La Cour rappelle qu</w:t>
      </w:r>
      <w:r w:rsidR="00B42F86">
        <w:rPr>
          <w:lang w:val="fr-FR"/>
        </w:rPr>
        <w:t>’</w:t>
      </w:r>
      <w:r w:rsidRPr="00C01637">
        <w:rPr>
          <w:lang w:val="fr-FR"/>
        </w:rPr>
        <w:t>en vertu de l</w:t>
      </w:r>
      <w:r w:rsidR="00B42F86">
        <w:rPr>
          <w:lang w:val="fr-FR"/>
        </w:rPr>
        <w:t>’</w:t>
      </w:r>
      <w:r w:rsidRPr="00C01637">
        <w:rPr>
          <w:lang w:val="fr-FR"/>
        </w:rPr>
        <w:t xml:space="preserve">article 6 § 1, un « tribunal » doit toujours être « établi par la loi ». Cette expression reflète le principe de </w:t>
      </w:r>
      <w:r w:rsidRPr="00C01637">
        <w:rPr>
          <w:lang w:val="fr-FR"/>
        </w:rPr>
        <w:lastRenderedPageBreak/>
        <w:t>l</w:t>
      </w:r>
      <w:r w:rsidR="00B42F86">
        <w:rPr>
          <w:lang w:val="fr-FR"/>
        </w:rPr>
        <w:t>’</w:t>
      </w:r>
      <w:r w:rsidRPr="00C01637">
        <w:rPr>
          <w:rFonts w:cstheme="minorHAnsi"/>
          <w:lang w:val="fr-FR"/>
        </w:rPr>
        <w:t>É</w:t>
      </w:r>
      <w:r w:rsidRPr="00C01637">
        <w:rPr>
          <w:lang w:val="fr-FR"/>
        </w:rPr>
        <w:t>tat de droit, inhérent à tout le système de la Convention et de ses protocoles. En effet, un organe n</w:t>
      </w:r>
      <w:r w:rsidR="00B42F86">
        <w:rPr>
          <w:lang w:val="fr-FR"/>
        </w:rPr>
        <w:t>’</w:t>
      </w:r>
      <w:r w:rsidRPr="00C01637">
        <w:rPr>
          <w:lang w:val="fr-FR"/>
        </w:rPr>
        <w:t>ayant pas été établi conformément à la volonté du législateur, serait nécessairement dépourvu de la légitimité requise dans une société démocratique pour entendre la cause des particuliers. L</w:t>
      </w:r>
      <w:r w:rsidR="00B42F86">
        <w:rPr>
          <w:lang w:val="fr-FR"/>
        </w:rPr>
        <w:t>’</w:t>
      </w:r>
      <w:r w:rsidRPr="00C01637">
        <w:rPr>
          <w:lang w:val="fr-FR"/>
        </w:rPr>
        <w:t>expression « établi par la loi » concerne non seulement la base légale de l</w:t>
      </w:r>
      <w:r w:rsidR="00B42F86">
        <w:rPr>
          <w:lang w:val="fr-FR"/>
        </w:rPr>
        <w:t>’</w:t>
      </w:r>
      <w:r w:rsidRPr="00C01637">
        <w:rPr>
          <w:lang w:val="fr-FR"/>
        </w:rPr>
        <w:t>existence même du tribunal, mais encore la composition du siège dans chaque affaire (</w:t>
      </w:r>
      <w:r w:rsidRPr="00C01637">
        <w:rPr>
          <w:i/>
          <w:lang w:val="fr-FR"/>
        </w:rPr>
        <w:t>Lavents c. Lettonie</w:t>
      </w:r>
      <w:r w:rsidRPr="00C01637">
        <w:rPr>
          <w:lang w:val="fr-FR"/>
        </w:rPr>
        <w:t>, n</w:t>
      </w:r>
      <w:r w:rsidR="0092451F" w:rsidRPr="0092451F">
        <w:rPr>
          <w:vertAlign w:val="superscript"/>
          <w:lang w:val="fr-FR"/>
        </w:rPr>
        <w:t>o</w:t>
      </w:r>
      <w:r w:rsidRPr="00C01637">
        <w:rPr>
          <w:lang w:val="fr-FR"/>
        </w:rPr>
        <w:t xml:space="preserve"> 58442/00, § 114, 28 novembre 2002). La « loi » visée par cette disposition est donc non seulement la législation relative à l</w:t>
      </w:r>
      <w:r w:rsidR="00B42F86">
        <w:rPr>
          <w:lang w:val="fr-FR"/>
        </w:rPr>
        <w:t>’</w:t>
      </w:r>
      <w:r w:rsidRPr="00C01637">
        <w:rPr>
          <w:lang w:val="fr-FR"/>
        </w:rPr>
        <w:t>établissement et à la compétence des organes judiciaires, mais également toute autre disposition du droit interne dont le non-respect rend irrégulière la participation d</w:t>
      </w:r>
      <w:r w:rsidR="00B42F86">
        <w:rPr>
          <w:lang w:val="fr-FR"/>
        </w:rPr>
        <w:t>’</w:t>
      </w:r>
      <w:r w:rsidRPr="00C01637">
        <w:rPr>
          <w:lang w:val="fr-FR"/>
        </w:rPr>
        <w:t>un ou de plusieurs juges à l</w:t>
      </w:r>
      <w:r w:rsidR="00B42F86">
        <w:rPr>
          <w:lang w:val="fr-FR"/>
        </w:rPr>
        <w:t>’</w:t>
      </w:r>
      <w:r w:rsidRPr="00C01637">
        <w:rPr>
          <w:lang w:val="fr-FR"/>
        </w:rPr>
        <w:t>examen de l</w:t>
      </w:r>
      <w:r w:rsidR="00B42F86">
        <w:rPr>
          <w:lang w:val="fr-FR"/>
        </w:rPr>
        <w:t>’</w:t>
      </w:r>
      <w:r w:rsidRPr="00C01637">
        <w:rPr>
          <w:lang w:val="fr-FR"/>
        </w:rPr>
        <w:t>affaire. Il s</w:t>
      </w:r>
      <w:r w:rsidR="00B42F86">
        <w:rPr>
          <w:lang w:val="fr-FR"/>
        </w:rPr>
        <w:t>’</w:t>
      </w:r>
      <w:r w:rsidRPr="00C01637">
        <w:rPr>
          <w:lang w:val="fr-FR"/>
        </w:rPr>
        <w:t xml:space="preserve">agit notamment des dispositions relatives aux mandats, aux incompatibilités et à la récusation des magistrats (voir </w:t>
      </w:r>
      <w:r w:rsidRPr="00C01637">
        <w:rPr>
          <w:i/>
          <w:lang w:val="fr-FR"/>
        </w:rPr>
        <w:t>Coëme et autres c. Belgique</w:t>
      </w:r>
      <w:r w:rsidRPr="00C01637">
        <w:rPr>
          <w:lang w:val="fr-FR"/>
        </w:rPr>
        <w:t>, n</w:t>
      </w:r>
      <w:r w:rsidRPr="00C01637">
        <w:rPr>
          <w:vertAlign w:val="superscript"/>
          <w:lang w:val="fr-FR"/>
        </w:rPr>
        <w:t>os</w:t>
      </w:r>
      <w:r w:rsidRPr="00C01637">
        <w:rPr>
          <w:lang w:val="fr-FR"/>
        </w:rPr>
        <w:t xml:space="preserve"> 32492/96, 32547/96, 32548/96, 33209/96 et 33210/96, § 99, CEDH 2000-VII).</w:t>
      </w:r>
    </w:p>
    <w:p w:rsidR="00786D0F" w:rsidRPr="00C01637" w:rsidRDefault="00786D0F" w:rsidP="00786D0F">
      <w:pPr>
        <w:pStyle w:val="ECHRPara"/>
        <w:rPr>
          <w:lang w:val="fr-FR"/>
        </w:rPr>
      </w:pPr>
      <w:r>
        <w:rPr>
          <w:lang w:val="fr-FR"/>
        </w:rPr>
        <w:t>47</w:t>
      </w:r>
      <w:r w:rsidRPr="00C01637">
        <w:rPr>
          <w:lang w:val="fr-FR"/>
        </w:rPr>
        <w:t>.  Le non-respect, par un tribunal, des dispositions susvisées, emporte en principe violation de l</w:t>
      </w:r>
      <w:r w:rsidR="00B42F86">
        <w:rPr>
          <w:lang w:val="fr-FR"/>
        </w:rPr>
        <w:t>’</w:t>
      </w:r>
      <w:r w:rsidRPr="00C01637">
        <w:rPr>
          <w:lang w:val="fr-FR"/>
        </w:rPr>
        <w:t>article 6 § 1. La Cour a donc compétence pour se prononcer sur le respect des règles du droit interne sur ce point. Toutefois, vu le principe général selon lequel c</w:t>
      </w:r>
      <w:r w:rsidR="00B42F86">
        <w:rPr>
          <w:lang w:val="fr-FR"/>
        </w:rPr>
        <w:t>’</w:t>
      </w:r>
      <w:r w:rsidRPr="00C01637">
        <w:rPr>
          <w:lang w:val="fr-FR"/>
        </w:rPr>
        <w:t>est en premier lieu aux juridictions nationales elles-mêmes qu</w:t>
      </w:r>
      <w:r w:rsidR="00B42F86">
        <w:rPr>
          <w:lang w:val="fr-FR"/>
        </w:rPr>
        <w:t>’</w:t>
      </w:r>
      <w:r w:rsidRPr="00C01637">
        <w:rPr>
          <w:lang w:val="fr-FR"/>
        </w:rPr>
        <w:t>il incombe d</w:t>
      </w:r>
      <w:r w:rsidR="00B42F86">
        <w:rPr>
          <w:lang w:val="fr-FR"/>
        </w:rPr>
        <w:t>’</w:t>
      </w:r>
      <w:r w:rsidRPr="00C01637">
        <w:rPr>
          <w:lang w:val="fr-FR"/>
        </w:rPr>
        <w:t>interpréter la législation interne, la Cour estime qu</w:t>
      </w:r>
      <w:r w:rsidR="00B42F86">
        <w:rPr>
          <w:lang w:val="fr-FR"/>
        </w:rPr>
        <w:t>’</w:t>
      </w:r>
      <w:r w:rsidRPr="00C01637">
        <w:rPr>
          <w:lang w:val="fr-FR"/>
        </w:rPr>
        <w:t>elle ne doit mettre en cause leur appréciation que dans des cas d</w:t>
      </w:r>
      <w:r w:rsidR="00B42F86">
        <w:rPr>
          <w:lang w:val="fr-FR"/>
        </w:rPr>
        <w:t>’</w:t>
      </w:r>
      <w:r w:rsidRPr="00C01637">
        <w:rPr>
          <w:lang w:val="fr-FR"/>
        </w:rPr>
        <w:t>une violation flagrante de cette législation (</w:t>
      </w:r>
      <w:r w:rsidRPr="00C01637">
        <w:rPr>
          <w:i/>
          <w:lang w:val="fr-FR"/>
        </w:rPr>
        <w:t>Lavents</w:t>
      </w:r>
      <w:r w:rsidRPr="00C01637">
        <w:rPr>
          <w:lang w:val="fr-FR"/>
        </w:rPr>
        <w:t xml:space="preserve">, précité, </w:t>
      </w:r>
      <w:r w:rsidRPr="00C01637">
        <w:rPr>
          <w:i/>
          <w:lang w:val="fr-FR"/>
        </w:rPr>
        <w:t>ibidem </w:t>
      </w:r>
      <w:r w:rsidRPr="00C01637">
        <w:rPr>
          <w:lang w:val="fr-FR"/>
        </w:rPr>
        <w:t xml:space="preserve">; </w:t>
      </w:r>
      <w:r w:rsidRPr="00C01637">
        <w:rPr>
          <w:i/>
          <w:lang w:val="fr-FR"/>
        </w:rPr>
        <w:t>Coëme et autres</w:t>
      </w:r>
      <w:r w:rsidRPr="00C01637">
        <w:rPr>
          <w:lang w:val="fr-FR"/>
        </w:rPr>
        <w:t xml:space="preserve">, précité, § 98 </w:t>
      </w:r>
      <w:r w:rsidRPr="00C01637">
        <w:rPr>
          <w:i/>
          <w:lang w:val="fr-FR"/>
        </w:rPr>
        <w:t>in fine </w:t>
      </w:r>
      <w:r w:rsidRPr="00C01637">
        <w:rPr>
          <w:lang w:val="fr-FR"/>
        </w:rPr>
        <w:t xml:space="preserve">; et </w:t>
      </w:r>
      <w:r w:rsidRPr="00C01637">
        <w:rPr>
          <w:i/>
          <w:lang w:val="fr-FR"/>
        </w:rPr>
        <w:t xml:space="preserve">Paviglianiti, Polimeni, Lucini et 3 autres c. Italie </w:t>
      </w:r>
      <w:r w:rsidRPr="00C01637">
        <w:rPr>
          <w:lang w:val="fr-FR"/>
        </w:rPr>
        <w:t>(déc.), n</w:t>
      </w:r>
      <w:r w:rsidRPr="00C01637">
        <w:rPr>
          <w:vertAlign w:val="superscript"/>
          <w:lang w:val="fr-FR"/>
        </w:rPr>
        <w:t>os</w:t>
      </w:r>
      <w:r w:rsidRPr="00C01637">
        <w:rPr>
          <w:lang w:val="fr-FR"/>
        </w:rPr>
        <w:t xml:space="preserve"> 40994/02, 42097/02 et 42743/02, 12 février 2004).</w:t>
      </w:r>
    </w:p>
    <w:p w:rsidR="0092451F" w:rsidRDefault="00786D0F" w:rsidP="00786D0F">
      <w:pPr>
        <w:pStyle w:val="ECHRPara"/>
        <w:rPr>
          <w:lang w:val="fr-FR"/>
        </w:rPr>
      </w:pPr>
      <w:r>
        <w:rPr>
          <w:lang w:val="fr-FR"/>
        </w:rPr>
        <w:t>48</w:t>
      </w:r>
      <w:r w:rsidRPr="00C01637">
        <w:rPr>
          <w:lang w:val="fr-FR"/>
        </w:rPr>
        <w:t>.  La Cour observe qu</w:t>
      </w:r>
      <w:r w:rsidR="00B42F86">
        <w:rPr>
          <w:lang w:val="fr-FR"/>
        </w:rPr>
        <w:t>’</w:t>
      </w:r>
      <w:r w:rsidRPr="00C01637">
        <w:rPr>
          <w:lang w:val="fr-FR"/>
        </w:rPr>
        <w:t>en l</w:t>
      </w:r>
      <w:r w:rsidR="00B42F86">
        <w:rPr>
          <w:lang w:val="fr-FR"/>
        </w:rPr>
        <w:t>’</w:t>
      </w:r>
      <w:r w:rsidRPr="00C01637">
        <w:rPr>
          <w:lang w:val="fr-FR"/>
        </w:rPr>
        <w:t>espèce il n</w:t>
      </w:r>
      <w:r w:rsidR="00B42F86">
        <w:rPr>
          <w:lang w:val="fr-FR"/>
        </w:rPr>
        <w:t>’</w:t>
      </w:r>
      <w:r w:rsidRPr="00C01637">
        <w:rPr>
          <w:lang w:val="fr-FR"/>
        </w:rPr>
        <w:t>est pas contesté que Z possédait la qualité requise – à savoir, celle d</w:t>
      </w:r>
      <w:r w:rsidR="00B42F86">
        <w:rPr>
          <w:lang w:val="fr-FR"/>
        </w:rPr>
        <w:t>’</w:t>
      </w:r>
      <w:r w:rsidRPr="00C01637">
        <w:rPr>
          <w:lang w:val="fr-FR"/>
        </w:rPr>
        <w:t>étudiante – lorsqu</w:t>
      </w:r>
      <w:r w:rsidR="00B42F86">
        <w:rPr>
          <w:lang w:val="fr-FR"/>
        </w:rPr>
        <w:t>’</w:t>
      </w:r>
      <w:r w:rsidRPr="00C01637">
        <w:rPr>
          <w:lang w:val="fr-FR"/>
        </w:rPr>
        <w:t xml:space="preserve">elle a été nommée membre de la commission de discipline en tant que représentante des étudiants. </w:t>
      </w:r>
      <w:r>
        <w:rPr>
          <w:lang w:val="fr-FR"/>
        </w:rPr>
        <w:t>De plus, elle a entamé l</w:t>
      </w:r>
      <w:r w:rsidR="00B42F86">
        <w:rPr>
          <w:lang w:val="fr-FR"/>
        </w:rPr>
        <w:t>’</w:t>
      </w:r>
      <w:r>
        <w:rPr>
          <w:lang w:val="fr-FR"/>
        </w:rPr>
        <w:t>examen de l</w:t>
      </w:r>
      <w:r w:rsidR="00B42F86">
        <w:rPr>
          <w:lang w:val="fr-FR"/>
        </w:rPr>
        <w:t>’</w:t>
      </w:r>
      <w:r>
        <w:rPr>
          <w:lang w:val="fr-FR"/>
        </w:rPr>
        <w:t xml:space="preserve">affaire dirigée contre le requérant. </w:t>
      </w:r>
      <w:r w:rsidRPr="00C01637">
        <w:rPr>
          <w:lang w:val="fr-FR"/>
        </w:rPr>
        <w:t>Faisant usage de son droit d</w:t>
      </w:r>
      <w:r w:rsidR="00B42F86">
        <w:rPr>
          <w:lang w:val="fr-FR"/>
        </w:rPr>
        <w:t>’</w:t>
      </w:r>
      <w:r w:rsidRPr="00C01637">
        <w:rPr>
          <w:lang w:val="fr-FR"/>
        </w:rPr>
        <w:t>interpréter le droit interne, le Conseil d</w:t>
      </w:r>
      <w:r w:rsidR="00B42F86">
        <w:rPr>
          <w:lang w:val="fr-FR"/>
        </w:rPr>
        <w:t>’</w:t>
      </w:r>
      <w:r w:rsidRPr="00C01637">
        <w:rPr>
          <w:lang w:val="fr-FR"/>
        </w:rPr>
        <w:t xml:space="preserve">État a estimé que la commission de discipline, nommée </w:t>
      </w:r>
      <w:r w:rsidRPr="00C01637">
        <w:rPr>
          <w:i/>
          <w:lang w:val="fr-FR"/>
        </w:rPr>
        <w:t xml:space="preserve">ad hoc </w:t>
      </w:r>
      <w:r w:rsidRPr="00C01637">
        <w:rPr>
          <w:lang w:val="fr-FR"/>
        </w:rPr>
        <w:t>pour examiner l</w:t>
      </w:r>
      <w:r w:rsidR="00B42F86">
        <w:rPr>
          <w:lang w:val="fr-FR"/>
        </w:rPr>
        <w:t>’</w:t>
      </w:r>
      <w:r w:rsidRPr="00C01637">
        <w:rPr>
          <w:lang w:val="fr-FR"/>
        </w:rPr>
        <w:t>affaire du requérant, n</w:t>
      </w:r>
      <w:r w:rsidR="00B42F86">
        <w:rPr>
          <w:lang w:val="fr-FR"/>
        </w:rPr>
        <w:t>’</w:t>
      </w:r>
      <w:r w:rsidRPr="00C01637">
        <w:rPr>
          <w:lang w:val="fr-FR"/>
        </w:rPr>
        <w:t>avait terminé son mandat qu</w:t>
      </w:r>
      <w:r w:rsidR="00B42F86">
        <w:rPr>
          <w:lang w:val="fr-FR"/>
        </w:rPr>
        <w:t>’</w:t>
      </w:r>
      <w:r w:rsidRPr="00C01637">
        <w:rPr>
          <w:lang w:val="fr-FR"/>
        </w:rPr>
        <w:t>en février 2010, lorsqu</w:t>
      </w:r>
      <w:r w:rsidR="00B42F86">
        <w:rPr>
          <w:lang w:val="fr-FR"/>
        </w:rPr>
        <w:t>’</w:t>
      </w:r>
      <w:r w:rsidRPr="00C01637">
        <w:rPr>
          <w:lang w:val="fr-FR"/>
        </w:rPr>
        <w:t>elle avait proposé d</w:t>
      </w:r>
      <w:r w:rsidR="00B42F86">
        <w:rPr>
          <w:lang w:val="fr-FR"/>
        </w:rPr>
        <w:t>’</w:t>
      </w:r>
      <w:r w:rsidRPr="00C01637">
        <w:rPr>
          <w:lang w:val="fr-FR"/>
        </w:rPr>
        <w:t>infliger la sanction de l</w:t>
      </w:r>
      <w:r w:rsidR="00B42F86">
        <w:rPr>
          <w:lang w:val="fr-FR"/>
        </w:rPr>
        <w:t>’</w:t>
      </w:r>
      <w:r w:rsidRPr="00C01637">
        <w:rPr>
          <w:lang w:val="fr-FR"/>
        </w:rPr>
        <w:t>exclusion de l</w:t>
      </w:r>
      <w:r w:rsidR="00B42F86">
        <w:rPr>
          <w:lang w:val="fr-FR"/>
        </w:rPr>
        <w:t>’</w:t>
      </w:r>
      <w:r w:rsidRPr="00C01637">
        <w:rPr>
          <w:lang w:val="fr-FR"/>
        </w:rPr>
        <w:t xml:space="preserve">université pour une durée de trois ans (paragraphe </w:t>
      </w:r>
      <w:r>
        <w:rPr>
          <w:lang w:val="fr-FR"/>
        </w:rPr>
        <w:t>17</w:t>
      </w:r>
      <w:r w:rsidRPr="00C01637">
        <w:rPr>
          <w:lang w:val="fr-FR"/>
        </w:rPr>
        <w:t xml:space="preserve"> ci-dessus). Dès lors, selon le Conseil d</w:t>
      </w:r>
      <w:r w:rsidR="00B42F86">
        <w:rPr>
          <w:lang w:val="fr-FR"/>
        </w:rPr>
        <w:t>’</w:t>
      </w:r>
      <w:r w:rsidRPr="00C01637">
        <w:rPr>
          <w:lang w:val="fr-FR"/>
        </w:rPr>
        <w:t xml:space="preserve">État, la circonstance que Z ait obtenu son diplôme en décembre 2009 ne pouvait rétroactivement affecter la validité de sa nomination (paragraphe </w:t>
      </w:r>
      <w:r>
        <w:rPr>
          <w:lang w:val="fr-FR"/>
        </w:rPr>
        <w:t>26</w:t>
      </w:r>
      <w:r w:rsidRPr="00C01637">
        <w:rPr>
          <w:lang w:val="fr-FR"/>
        </w:rPr>
        <w:t xml:space="preserve"> ci-dessus).</w:t>
      </w:r>
    </w:p>
    <w:p w:rsidR="0092451F" w:rsidRDefault="00786D0F" w:rsidP="00786D0F">
      <w:pPr>
        <w:pStyle w:val="ECHRPara"/>
        <w:rPr>
          <w:lang w:val="fr-FR"/>
        </w:rPr>
      </w:pPr>
      <w:r>
        <w:rPr>
          <w:lang w:val="fr-FR"/>
        </w:rPr>
        <w:t>49</w:t>
      </w:r>
      <w:r w:rsidRPr="00C01637">
        <w:rPr>
          <w:lang w:val="fr-FR"/>
        </w:rPr>
        <w:t>.  La Cour observe que devant elle le requérant n</w:t>
      </w:r>
      <w:r w:rsidR="00B42F86">
        <w:rPr>
          <w:lang w:val="fr-FR"/>
        </w:rPr>
        <w:t>’</w:t>
      </w:r>
      <w:r w:rsidRPr="00C01637">
        <w:rPr>
          <w:lang w:val="fr-FR"/>
        </w:rPr>
        <w:t>a pas indiqué les dispositions internes qui auraient été violées par l</w:t>
      </w:r>
      <w:r w:rsidR="00B42F86">
        <w:rPr>
          <w:lang w:val="fr-FR"/>
        </w:rPr>
        <w:t>’</w:t>
      </w:r>
      <w:r w:rsidRPr="00C01637">
        <w:rPr>
          <w:lang w:val="fr-FR"/>
        </w:rPr>
        <w:t>interprétation suivie par le Conseil d</w:t>
      </w:r>
      <w:r w:rsidR="00B42F86">
        <w:rPr>
          <w:lang w:val="fr-FR"/>
        </w:rPr>
        <w:t>’</w:t>
      </w:r>
      <w:r w:rsidRPr="00C01637">
        <w:rPr>
          <w:lang w:val="fr-FR"/>
        </w:rPr>
        <w:t>État. Aux yeux de la Cour, cette dernière ne saurait passer pour arbitraire ou déraisonnable, et la participation de Z à la commission de discipline après décembre 2009 ne saurait s</w:t>
      </w:r>
      <w:r w:rsidR="00B42F86">
        <w:rPr>
          <w:lang w:val="fr-FR"/>
        </w:rPr>
        <w:t>’</w:t>
      </w:r>
      <w:r w:rsidRPr="00C01637">
        <w:rPr>
          <w:lang w:val="fr-FR"/>
        </w:rPr>
        <w:t xml:space="preserve">analyser en une violation flagrante de la législation nationale (voir, </w:t>
      </w:r>
      <w:r w:rsidRPr="00C01637">
        <w:rPr>
          <w:i/>
          <w:lang w:val="fr-FR"/>
        </w:rPr>
        <w:t>mutatis mutandis</w:t>
      </w:r>
      <w:r w:rsidRPr="00C01637">
        <w:rPr>
          <w:lang w:val="fr-FR"/>
        </w:rPr>
        <w:t xml:space="preserve">, </w:t>
      </w:r>
      <w:r w:rsidRPr="00C01637">
        <w:rPr>
          <w:i/>
          <w:lang w:val="fr-FR"/>
        </w:rPr>
        <w:t>Paviglianiti, Polimeni, Lucini et 3 autres</w:t>
      </w:r>
      <w:r w:rsidRPr="00C01637">
        <w:rPr>
          <w:lang w:val="fr-FR"/>
        </w:rPr>
        <w:t>, décision précitée).</w:t>
      </w:r>
    </w:p>
    <w:p w:rsidR="00786D0F" w:rsidRPr="00C01637" w:rsidRDefault="00786D0F" w:rsidP="00786D0F">
      <w:pPr>
        <w:pStyle w:val="ECHRPara"/>
        <w:rPr>
          <w:snapToGrid w:val="0"/>
          <w:lang w:val="fr-FR"/>
        </w:rPr>
      </w:pPr>
      <w:r>
        <w:rPr>
          <w:lang w:val="fr-FR"/>
        </w:rPr>
        <w:lastRenderedPageBreak/>
        <w:t>50</w:t>
      </w:r>
      <w:r w:rsidRPr="00C01637">
        <w:rPr>
          <w:lang w:val="fr-FR"/>
        </w:rPr>
        <w:t>.  </w:t>
      </w:r>
      <w:r w:rsidRPr="00C01637">
        <w:rPr>
          <w:snapToGrid w:val="0"/>
          <w:lang w:val="fr-FR"/>
        </w:rPr>
        <w:t>Il s</w:t>
      </w:r>
      <w:r w:rsidR="00B42F86">
        <w:rPr>
          <w:snapToGrid w:val="0"/>
          <w:lang w:val="fr-FR"/>
        </w:rPr>
        <w:t>’</w:t>
      </w:r>
      <w:r w:rsidRPr="00C01637">
        <w:rPr>
          <w:snapToGrid w:val="0"/>
          <w:lang w:val="fr-FR"/>
        </w:rPr>
        <w:t>ensuit que ce grief est manifestement mal fondé et doit être rejeté en application de l</w:t>
      </w:r>
      <w:r w:rsidR="00B42F86">
        <w:rPr>
          <w:snapToGrid w:val="0"/>
          <w:lang w:val="fr-FR"/>
        </w:rPr>
        <w:t>’</w:t>
      </w:r>
      <w:r w:rsidRPr="00C01637">
        <w:rPr>
          <w:snapToGrid w:val="0"/>
          <w:lang w:val="fr-FR"/>
        </w:rPr>
        <w:t>article 35 §§ 3 </w:t>
      </w:r>
      <w:r w:rsidRPr="00C01637">
        <w:rPr>
          <w:lang w:val="fr-FR"/>
        </w:rPr>
        <w:t xml:space="preserve">a) </w:t>
      </w:r>
      <w:r w:rsidRPr="00C01637">
        <w:rPr>
          <w:snapToGrid w:val="0"/>
          <w:lang w:val="fr-FR"/>
        </w:rPr>
        <w:t>et 4 de la Convention.</w:t>
      </w:r>
    </w:p>
    <w:p w:rsidR="00786D0F" w:rsidRPr="00C01637" w:rsidRDefault="00786D0F" w:rsidP="00786D0F">
      <w:pPr>
        <w:pStyle w:val="ECHRHeading5"/>
        <w:rPr>
          <w:lang w:val="fr-FR"/>
        </w:rPr>
      </w:pPr>
      <w:r w:rsidRPr="00C01637">
        <w:rPr>
          <w:lang w:val="fr-FR"/>
        </w:rPr>
        <w:t>ii.  Sur l</w:t>
      </w:r>
      <w:r w:rsidR="00B42F86">
        <w:rPr>
          <w:lang w:val="fr-FR"/>
        </w:rPr>
        <w:t>’</w:t>
      </w:r>
      <w:r w:rsidRPr="00C01637">
        <w:rPr>
          <w:lang w:val="fr-FR"/>
        </w:rPr>
        <w:t>équité de la procédure</w:t>
      </w:r>
    </w:p>
    <w:p w:rsidR="00786D0F" w:rsidRPr="00C01637" w:rsidRDefault="00786D0F" w:rsidP="00786D0F">
      <w:pPr>
        <w:pStyle w:val="JuParaSub"/>
        <w:ind w:left="0"/>
        <w:rPr>
          <w:lang w:val="fr-FR"/>
        </w:rPr>
      </w:pPr>
      <w:r>
        <w:rPr>
          <w:lang w:val="fr-FR"/>
        </w:rPr>
        <w:t>51</w:t>
      </w:r>
      <w:r w:rsidRPr="00C01637">
        <w:rPr>
          <w:lang w:val="fr-FR"/>
        </w:rPr>
        <w:t>.  La Cour relève que la première question qui se pose en l</w:t>
      </w:r>
      <w:r w:rsidR="00B42F86">
        <w:rPr>
          <w:lang w:val="fr-FR"/>
        </w:rPr>
        <w:t>’</w:t>
      </w:r>
      <w:r w:rsidRPr="00C01637">
        <w:rPr>
          <w:lang w:val="fr-FR"/>
        </w:rPr>
        <w:t>espèce est celle de savoir si la procédure devant la commission de discipline a été « équitable » aux sens de sa jurisprudence en la matière.</w:t>
      </w:r>
    </w:p>
    <w:p w:rsidR="00786D0F" w:rsidRPr="00C01637" w:rsidRDefault="00786D0F" w:rsidP="00786D0F">
      <w:pPr>
        <w:pStyle w:val="JuParaSub"/>
        <w:ind w:left="0"/>
        <w:rPr>
          <w:lang w:val="fr-FR"/>
        </w:rPr>
      </w:pPr>
      <w:r>
        <w:rPr>
          <w:lang w:val="fr-FR"/>
        </w:rPr>
        <w:t>52</w:t>
      </w:r>
      <w:r w:rsidRPr="00C01637">
        <w:rPr>
          <w:lang w:val="fr-FR"/>
        </w:rPr>
        <w:t>.  La Cour rappelle que les impératifs inhérents à la notion de « procès équitable » ne sont pas nécessairement les mêmes dans les litiges relatifs à des droits et obligations de caractère civil que dans les affaires concernant des accusations en matière pénale. À preuve l</w:t>
      </w:r>
      <w:r w:rsidR="00B42F86">
        <w:rPr>
          <w:lang w:val="fr-FR"/>
        </w:rPr>
        <w:t>’</w:t>
      </w:r>
      <w:r w:rsidRPr="00C01637">
        <w:rPr>
          <w:lang w:val="fr-FR"/>
        </w:rPr>
        <w:t>absence, pour les premiers, de clauses détaillées semblables aux paragraphes 2 et 3 de l</w:t>
      </w:r>
      <w:r w:rsidR="00B42F86">
        <w:rPr>
          <w:lang w:val="fr-FR"/>
        </w:rPr>
        <w:t>’</w:t>
      </w:r>
      <w:r w:rsidRPr="00C01637">
        <w:rPr>
          <w:lang w:val="fr-FR"/>
        </w:rPr>
        <w:t>article 6. Partant, et bien que ces dispositions aient une certaine pertinence en dehors des limites étroites du droit pénal, les États contractants jouissent d</w:t>
      </w:r>
      <w:r w:rsidR="00B42F86">
        <w:rPr>
          <w:lang w:val="fr-FR"/>
        </w:rPr>
        <w:t>’</w:t>
      </w:r>
      <w:r w:rsidRPr="00C01637">
        <w:rPr>
          <w:lang w:val="fr-FR"/>
        </w:rPr>
        <w:t>une latitude plus grande dans le domaine du contentieux civil que pour les poursuites pénales</w:t>
      </w:r>
      <w:r w:rsidRPr="00C01637">
        <w:rPr>
          <w:i/>
          <w:lang w:val="fr-FR"/>
        </w:rPr>
        <w:t xml:space="preserve"> </w:t>
      </w:r>
      <w:r w:rsidRPr="00C01637">
        <w:rPr>
          <w:lang w:val="fr-FR"/>
        </w:rPr>
        <w:t>(</w:t>
      </w:r>
      <w:r w:rsidRPr="00C01637">
        <w:rPr>
          <w:i/>
          <w:lang w:val="fr-FR"/>
        </w:rPr>
        <w:t>Dombo Beheer B.V. c. Pays-Bas</w:t>
      </w:r>
      <w:r w:rsidRPr="00C01637">
        <w:rPr>
          <w:lang w:val="fr-FR"/>
        </w:rPr>
        <w:t>, 27 octobre 1993, § 32, série A n</w:t>
      </w:r>
      <w:r w:rsidR="0092451F" w:rsidRPr="0092451F">
        <w:rPr>
          <w:vertAlign w:val="superscript"/>
          <w:lang w:val="fr-FR"/>
        </w:rPr>
        <w:t>o</w:t>
      </w:r>
      <w:r w:rsidRPr="00C01637">
        <w:rPr>
          <w:lang w:val="fr-FR"/>
        </w:rPr>
        <w:t> 274).</w:t>
      </w:r>
    </w:p>
    <w:p w:rsidR="00786D0F" w:rsidRPr="00C01637" w:rsidRDefault="00786D0F" w:rsidP="00786D0F">
      <w:pPr>
        <w:pStyle w:val="JuParaSub"/>
        <w:ind w:left="0"/>
        <w:rPr>
          <w:rFonts w:ascii="Times New Roman" w:hAnsi="Times New Roman"/>
          <w:szCs w:val="24"/>
          <w:lang w:val="fr-FR"/>
        </w:rPr>
      </w:pPr>
      <w:r>
        <w:rPr>
          <w:lang w:val="fr-FR"/>
        </w:rPr>
        <w:t>53</w:t>
      </w:r>
      <w:r w:rsidRPr="00C01637">
        <w:rPr>
          <w:lang w:val="fr-FR"/>
        </w:rPr>
        <w:t>.  Néanmoins, certains principes liés à la notion de « procès équitable » dans les affaires de caractère civil se dégagent de la jurisprudence de la Cour. Ainsi, l</w:t>
      </w:r>
      <w:r w:rsidR="00B42F86">
        <w:rPr>
          <w:lang w:val="fr-FR"/>
        </w:rPr>
        <w:t>’</w:t>
      </w:r>
      <w:r w:rsidRPr="00C01637">
        <w:rPr>
          <w:lang w:val="fr-FR"/>
        </w:rPr>
        <w:t>exigence de « l</w:t>
      </w:r>
      <w:r w:rsidR="00B42F86">
        <w:rPr>
          <w:lang w:val="fr-FR"/>
        </w:rPr>
        <w:t>’</w:t>
      </w:r>
      <w:r w:rsidRPr="00C01637">
        <w:rPr>
          <w:lang w:val="fr-FR"/>
        </w:rPr>
        <w:t>égalité des armes », au sens d</w:t>
      </w:r>
      <w:r w:rsidR="00B42F86">
        <w:rPr>
          <w:lang w:val="fr-FR"/>
        </w:rPr>
        <w:t>’</w:t>
      </w:r>
      <w:r w:rsidRPr="00C01637">
        <w:rPr>
          <w:lang w:val="fr-FR"/>
        </w:rPr>
        <w:t>un « juste équilibre » entre les parties, vaut en principe aussi bien au civil qu</w:t>
      </w:r>
      <w:r w:rsidR="00B42F86">
        <w:rPr>
          <w:lang w:val="fr-FR"/>
        </w:rPr>
        <w:t>’</w:t>
      </w:r>
      <w:r w:rsidRPr="00C01637">
        <w:rPr>
          <w:lang w:val="fr-FR"/>
        </w:rPr>
        <w:t>au pénal ; elle implique l</w:t>
      </w:r>
      <w:r w:rsidR="00B42F86">
        <w:rPr>
          <w:lang w:val="fr-FR"/>
        </w:rPr>
        <w:t>’</w:t>
      </w:r>
      <w:r w:rsidRPr="00C01637">
        <w:rPr>
          <w:lang w:val="fr-FR"/>
        </w:rPr>
        <w:t>obligation d</w:t>
      </w:r>
      <w:r w:rsidR="00B42F86">
        <w:rPr>
          <w:lang w:val="fr-FR"/>
        </w:rPr>
        <w:t>’</w:t>
      </w:r>
      <w:r w:rsidRPr="00C01637">
        <w:rPr>
          <w:lang w:val="fr-FR"/>
        </w:rPr>
        <w:t>offrir à chaque partie une possibilité raisonnable de présenter sa cause – y compris ses</w:t>
      </w:r>
      <w:r>
        <w:rPr>
          <w:lang w:val="fr-FR"/>
        </w:rPr>
        <w:t xml:space="preserve"> moyens de</w:t>
      </w:r>
      <w:r w:rsidRPr="00C01637">
        <w:rPr>
          <w:lang w:val="fr-FR"/>
        </w:rPr>
        <w:t xml:space="preserve"> preuves – dans des conditions qui ne la placent pas dans une situation de net désavantage par rapport à son adversaire (voir, parmi beaucoup d</w:t>
      </w:r>
      <w:r w:rsidR="00B42F86">
        <w:rPr>
          <w:lang w:val="fr-FR"/>
        </w:rPr>
        <w:t>’</w:t>
      </w:r>
      <w:r w:rsidRPr="00C01637">
        <w:rPr>
          <w:lang w:val="fr-FR"/>
        </w:rPr>
        <w:t xml:space="preserve">autres, </w:t>
      </w:r>
      <w:r w:rsidRPr="00C01637">
        <w:rPr>
          <w:rFonts w:ascii="Times New Roman" w:hAnsi="Times New Roman"/>
          <w:i/>
          <w:szCs w:val="24"/>
          <w:lang w:val="fr-FR"/>
        </w:rPr>
        <w:t>Adorisio et autres c.</w:t>
      </w:r>
      <w:r w:rsidR="00AD5A90">
        <w:rPr>
          <w:rFonts w:ascii="Times New Roman" w:hAnsi="Times New Roman"/>
          <w:i/>
          <w:szCs w:val="24"/>
          <w:lang w:val="fr-FR"/>
        </w:rPr>
        <w:t xml:space="preserve"> </w:t>
      </w:r>
      <w:r w:rsidRPr="00C01637">
        <w:rPr>
          <w:rFonts w:ascii="Times New Roman" w:hAnsi="Times New Roman"/>
          <w:i/>
          <w:szCs w:val="24"/>
          <w:lang w:val="fr-FR"/>
        </w:rPr>
        <w:t>Pays-Bas</w:t>
      </w:r>
      <w:r w:rsidRPr="00C01637">
        <w:rPr>
          <w:rFonts w:ascii="Times New Roman" w:hAnsi="Times New Roman"/>
          <w:szCs w:val="24"/>
          <w:lang w:val="fr-FR"/>
        </w:rPr>
        <w:t>, n</w:t>
      </w:r>
      <w:r w:rsidRPr="00C01637">
        <w:rPr>
          <w:rFonts w:ascii="Times New Roman" w:hAnsi="Times New Roman"/>
          <w:szCs w:val="24"/>
          <w:vertAlign w:val="superscript"/>
          <w:lang w:val="fr-FR"/>
        </w:rPr>
        <w:t>os</w:t>
      </w:r>
      <w:r w:rsidRPr="00C01637">
        <w:rPr>
          <w:rFonts w:ascii="Times New Roman" w:hAnsi="Times New Roman"/>
          <w:szCs w:val="24"/>
          <w:lang w:val="fr-FR"/>
        </w:rPr>
        <w:t xml:space="preserve"> 47315/13, 48490/13 et 49016/13, § 88, 9 avril 2015).</w:t>
      </w:r>
    </w:p>
    <w:p w:rsidR="00786D0F" w:rsidRPr="00C01637" w:rsidRDefault="00786D0F" w:rsidP="00786D0F">
      <w:pPr>
        <w:pStyle w:val="JuParaSub"/>
        <w:ind w:left="0"/>
        <w:rPr>
          <w:lang w:val="fr-FR"/>
        </w:rPr>
      </w:pPr>
      <w:r>
        <w:rPr>
          <w:lang w:val="fr-FR"/>
        </w:rPr>
        <w:t>54</w:t>
      </w:r>
      <w:r w:rsidRPr="00C01637">
        <w:rPr>
          <w:lang w:val="fr-FR"/>
        </w:rPr>
        <w:t>.  </w:t>
      </w:r>
      <w:r>
        <w:rPr>
          <w:lang w:val="fr-FR"/>
        </w:rPr>
        <w:t xml:space="preserve">La </w:t>
      </w:r>
      <w:r w:rsidRPr="00C01637">
        <w:rPr>
          <w:lang w:val="fr-FR"/>
        </w:rPr>
        <w:t>Cour rappelle également que l</w:t>
      </w:r>
      <w:r w:rsidR="00B42F86">
        <w:rPr>
          <w:lang w:val="fr-FR"/>
        </w:rPr>
        <w:t>’</w:t>
      </w:r>
      <w:r w:rsidRPr="00C01637">
        <w:rPr>
          <w:lang w:val="fr-FR"/>
        </w:rPr>
        <w:t>un des éléments d</w:t>
      </w:r>
      <w:r w:rsidR="00B42F86">
        <w:rPr>
          <w:lang w:val="fr-FR"/>
        </w:rPr>
        <w:t>’</w:t>
      </w:r>
      <w:r w:rsidRPr="00C01637">
        <w:rPr>
          <w:lang w:val="fr-FR"/>
        </w:rPr>
        <w:t>une procédure équitable au sens de l</w:t>
      </w:r>
      <w:r w:rsidR="00B42F86">
        <w:rPr>
          <w:lang w:val="fr-FR"/>
        </w:rPr>
        <w:t>’</w:t>
      </w:r>
      <w:r w:rsidRPr="00C01637">
        <w:rPr>
          <w:lang w:val="fr-FR"/>
        </w:rPr>
        <w:t>article 6 § 1 est le droit à une procédure contradictoire, qui implique que chaque partie à un procès, pénal ou civil, doit en principe avoir la faculté de prendre connaissance et de discuter toute pièce ou observation présentée au juge en vue d</w:t>
      </w:r>
      <w:r w:rsidR="00B42F86">
        <w:rPr>
          <w:lang w:val="fr-FR"/>
        </w:rPr>
        <w:t>’</w:t>
      </w:r>
      <w:r w:rsidRPr="00C01637">
        <w:rPr>
          <w:lang w:val="fr-FR"/>
        </w:rPr>
        <w:t>influencer sa décision (</w:t>
      </w:r>
      <w:r w:rsidRPr="00C01637">
        <w:rPr>
          <w:i/>
          <w:lang w:val="fr-FR"/>
        </w:rPr>
        <w:t>Mantovanelli c. France</w:t>
      </w:r>
      <w:r w:rsidRPr="00C01637">
        <w:rPr>
          <w:lang w:val="fr-FR"/>
        </w:rPr>
        <w:t xml:space="preserve">, 18 mars 1997, § 33, </w:t>
      </w:r>
      <w:r w:rsidRPr="00C01637">
        <w:rPr>
          <w:i/>
          <w:lang w:val="fr-FR"/>
        </w:rPr>
        <w:t>Recueil des arrêts et décisions</w:t>
      </w:r>
      <w:r w:rsidRPr="00C01637">
        <w:rPr>
          <w:lang w:val="fr-FR"/>
        </w:rPr>
        <w:t xml:space="preserve"> 1997</w:t>
      </w:r>
      <w:r w:rsidRPr="00C01637">
        <w:rPr>
          <w:lang w:val="fr-FR"/>
        </w:rPr>
        <w:noBreakHyphen/>
        <w:t xml:space="preserve">II ; </w:t>
      </w:r>
      <w:r w:rsidRPr="00C01637">
        <w:rPr>
          <w:i/>
          <w:lang w:val="fr-FR"/>
        </w:rPr>
        <w:t>Pellegrini c. Italie</w:t>
      </w:r>
      <w:r w:rsidRPr="00C01637">
        <w:rPr>
          <w:lang w:val="fr-FR"/>
        </w:rPr>
        <w:t>, n</w:t>
      </w:r>
      <w:r w:rsidR="0092451F" w:rsidRPr="0092451F">
        <w:rPr>
          <w:vertAlign w:val="superscript"/>
          <w:lang w:val="fr-FR"/>
        </w:rPr>
        <w:t>o</w:t>
      </w:r>
      <w:r w:rsidRPr="00C01637">
        <w:rPr>
          <w:lang w:val="fr-FR"/>
        </w:rPr>
        <w:t xml:space="preserve"> 30882/96, § 44, CEDH 2001</w:t>
      </w:r>
      <w:r w:rsidRPr="00C01637">
        <w:rPr>
          <w:lang w:val="fr-FR"/>
        </w:rPr>
        <w:noBreakHyphen/>
        <w:t xml:space="preserve">VIII ; et </w:t>
      </w:r>
      <w:r w:rsidRPr="00C01637">
        <w:rPr>
          <w:rFonts w:ascii="Times New Roman" w:hAnsi="Times New Roman"/>
          <w:i/>
          <w:szCs w:val="24"/>
          <w:lang w:val="fr-FR"/>
        </w:rPr>
        <w:t>Adorisio et autres</w:t>
      </w:r>
      <w:r w:rsidRPr="00C01637">
        <w:rPr>
          <w:rFonts w:ascii="Times New Roman" w:hAnsi="Times New Roman"/>
          <w:szCs w:val="24"/>
          <w:lang w:val="fr-FR"/>
        </w:rPr>
        <w:t>, décision précitée, § 89).</w:t>
      </w:r>
    </w:p>
    <w:p w:rsidR="00786D0F" w:rsidRPr="00C01637" w:rsidRDefault="00786D0F" w:rsidP="00786D0F">
      <w:pPr>
        <w:pStyle w:val="ECHRPara"/>
        <w:rPr>
          <w:lang w:val="fr-FR"/>
        </w:rPr>
      </w:pPr>
      <w:r>
        <w:rPr>
          <w:lang w:val="fr-FR"/>
        </w:rPr>
        <w:t>55</w:t>
      </w:r>
      <w:r w:rsidRPr="00C01637">
        <w:rPr>
          <w:lang w:val="fr-FR"/>
        </w:rPr>
        <w:t>.  Il revient aux autorités nationales de veiller, dans chaque cas, au respect des conditions d</w:t>
      </w:r>
      <w:r w:rsidR="00B42F86">
        <w:rPr>
          <w:lang w:val="fr-FR"/>
        </w:rPr>
        <w:t>’</w:t>
      </w:r>
      <w:r w:rsidRPr="00C01637">
        <w:rPr>
          <w:lang w:val="fr-FR"/>
        </w:rPr>
        <w:t>un « procès équitable » (</w:t>
      </w:r>
      <w:r w:rsidRPr="00C01637">
        <w:rPr>
          <w:i/>
          <w:lang w:val="fr-FR"/>
        </w:rPr>
        <w:t>Dombo Beheer B.V.</w:t>
      </w:r>
      <w:r w:rsidRPr="00C01637">
        <w:rPr>
          <w:lang w:val="fr-FR"/>
        </w:rPr>
        <w:t>, précité, § 33).</w:t>
      </w:r>
    </w:p>
    <w:p w:rsidR="0092451F" w:rsidRDefault="00786D0F" w:rsidP="00786D0F">
      <w:pPr>
        <w:pStyle w:val="ECHRPara"/>
        <w:rPr>
          <w:lang w:val="fr-FR"/>
        </w:rPr>
      </w:pPr>
      <w:r>
        <w:rPr>
          <w:lang w:val="fr-FR"/>
        </w:rPr>
        <w:t>56</w:t>
      </w:r>
      <w:r w:rsidRPr="00C01637">
        <w:rPr>
          <w:lang w:val="fr-FR"/>
        </w:rPr>
        <w:t>.  La Cour observe que la commission de discipline a informé le requérant des reproches disciplinaires à son encontre et l</w:t>
      </w:r>
      <w:r w:rsidR="00B42F86">
        <w:rPr>
          <w:lang w:val="fr-FR"/>
        </w:rPr>
        <w:t>’</w:t>
      </w:r>
      <w:r w:rsidRPr="00C01637">
        <w:rPr>
          <w:lang w:val="fr-FR"/>
        </w:rPr>
        <w:t>a convoqué à sa réunion du 11 juin 2009, au cours de laquelle les personnes concernées par l</w:t>
      </w:r>
      <w:r w:rsidR="00B42F86">
        <w:rPr>
          <w:lang w:val="fr-FR"/>
        </w:rPr>
        <w:t>’</w:t>
      </w:r>
      <w:r w:rsidRPr="00C01637">
        <w:rPr>
          <w:lang w:val="fr-FR"/>
        </w:rPr>
        <w:t xml:space="preserve">affaire, et notamment X, </w:t>
      </w:r>
      <w:r>
        <w:rPr>
          <w:lang w:val="fr-FR"/>
        </w:rPr>
        <w:t>devaient</w:t>
      </w:r>
      <w:r w:rsidRPr="00C01637">
        <w:rPr>
          <w:lang w:val="fr-FR"/>
        </w:rPr>
        <w:t xml:space="preserve"> être auditionnées. L</w:t>
      </w:r>
      <w:r w:rsidR="00B42F86">
        <w:rPr>
          <w:lang w:val="fr-FR"/>
        </w:rPr>
        <w:t>’</w:t>
      </w:r>
      <w:r w:rsidRPr="00C01637">
        <w:rPr>
          <w:lang w:val="fr-FR"/>
        </w:rPr>
        <w:t>intéressé a également été informé qu</w:t>
      </w:r>
      <w:r w:rsidR="00B42F86">
        <w:rPr>
          <w:lang w:val="fr-FR"/>
        </w:rPr>
        <w:t>’</w:t>
      </w:r>
      <w:r w:rsidRPr="00C01637">
        <w:rPr>
          <w:lang w:val="fr-FR"/>
        </w:rPr>
        <w:t>il pouvait consulter le dossier le concernant auprès du secrétariat de la faculté de psychologie (paragraphes </w:t>
      </w:r>
      <w:r>
        <w:rPr>
          <w:lang w:val="fr-FR"/>
        </w:rPr>
        <w:t>7</w:t>
      </w:r>
      <w:r w:rsidRPr="00C01637">
        <w:rPr>
          <w:lang w:val="fr-FR"/>
        </w:rPr>
        <w:t>-</w:t>
      </w:r>
      <w:r>
        <w:rPr>
          <w:lang w:val="fr-FR"/>
        </w:rPr>
        <w:t>8</w:t>
      </w:r>
      <w:r w:rsidR="0092451F">
        <w:rPr>
          <w:lang w:val="fr-FR"/>
        </w:rPr>
        <w:t xml:space="preserve"> ci</w:t>
      </w:r>
      <w:r w:rsidR="0092451F">
        <w:rPr>
          <w:lang w:val="fr-FR"/>
        </w:rPr>
        <w:noBreakHyphen/>
      </w:r>
      <w:r w:rsidRPr="00C01637">
        <w:rPr>
          <w:lang w:val="fr-FR"/>
        </w:rPr>
        <w:t xml:space="preserve">dessus). Le requérant a décidé de son plein gré de ne pas se rendre à la </w:t>
      </w:r>
      <w:r w:rsidRPr="00C01637">
        <w:rPr>
          <w:lang w:val="fr-FR"/>
        </w:rPr>
        <w:lastRenderedPageBreak/>
        <w:t xml:space="preserve">réunion du 11 juin 2009 (paragraphe </w:t>
      </w:r>
      <w:r>
        <w:rPr>
          <w:lang w:val="fr-FR"/>
        </w:rPr>
        <w:t>9</w:t>
      </w:r>
      <w:r w:rsidRPr="00C01637">
        <w:rPr>
          <w:lang w:val="fr-FR"/>
        </w:rPr>
        <w:t xml:space="preserve"> ci-dessus). Il n</w:t>
      </w:r>
      <w:r w:rsidR="00B42F86">
        <w:rPr>
          <w:lang w:val="fr-FR"/>
        </w:rPr>
        <w:t>’</w:t>
      </w:r>
      <w:r w:rsidRPr="00C01637">
        <w:rPr>
          <w:lang w:val="fr-FR"/>
        </w:rPr>
        <w:t>a pas non plus participé à celle du 17 juin 2009, dédiée à l</w:t>
      </w:r>
      <w:r w:rsidR="00B42F86">
        <w:rPr>
          <w:lang w:val="fr-FR"/>
        </w:rPr>
        <w:t>’</w:t>
      </w:r>
      <w:r w:rsidRPr="00C01637">
        <w:rPr>
          <w:lang w:val="fr-FR"/>
        </w:rPr>
        <w:t>audition d</w:t>
      </w:r>
      <w:r w:rsidR="00B42F86">
        <w:rPr>
          <w:lang w:val="fr-FR"/>
        </w:rPr>
        <w:t>’</w:t>
      </w:r>
      <w:r w:rsidRPr="00C01637">
        <w:rPr>
          <w:lang w:val="fr-FR"/>
        </w:rPr>
        <w:t xml:space="preserve">un témoin, W (paragraphe </w:t>
      </w:r>
      <w:r>
        <w:rPr>
          <w:lang w:val="fr-FR"/>
        </w:rPr>
        <w:t>10</w:t>
      </w:r>
      <w:r w:rsidRPr="00C01637">
        <w:rPr>
          <w:lang w:val="fr-FR"/>
        </w:rPr>
        <w:t xml:space="preserve"> ci-dessus). Rien ne permet de penser que, s</w:t>
      </w:r>
      <w:r w:rsidR="00B42F86">
        <w:rPr>
          <w:lang w:val="fr-FR"/>
        </w:rPr>
        <w:t>’</w:t>
      </w:r>
      <w:r w:rsidRPr="00C01637">
        <w:rPr>
          <w:lang w:val="fr-FR"/>
        </w:rPr>
        <w:t>il s</w:t>
      </w:r>
      <w:r w:rsidR="00B42F86">
        <w:rPr>
          <w:lang w:val="fr-FR"/>
        </w:rPr>
        <w:t>’</w:t>
      </w:r>
      <w:r w:rsidRPr="00C01637">
        <w:rPr>
          <w:lang w:val="fr-FR"/>
        </w:rPr>
        <w:t>était présenté aux réunions en question, il aurait été interdit au requérant de poser des questions à X ou W.</w:t>
      </w:r>
    </w:p>
    <w:p w:rsidR="0092451F" w:rsidRDefault="00786D0F" w:rsidP="00786D0F">
      <w:pPr>
        <w:pStyle w:val="ECHRPara"/>
        <w:rPr>
          <w:lang w:val="fr-FR"/>
        </w:rPr>
      </w:pPr>
      <w:r>
        <w:rPr>
          <w:lang w:val="fr-FR"/>
        </w:rPr>
        <w:t>57</w:t>
      </w:r>
      <w:r w:rsidRPr="00C01637">
        <w:rPr>
          <w:lang w:val="fr-FR"/>
        </w:rPr>
        <w:t>.  Il est vrai que le requérant n</w:t>
      </w:r>
      <w:r w:rsidR="00B42F86">
        <w:rPr>
          <w:lang w:val="fr-FR"/>
        </w:rPr>
        <w:t>’</w:t>
      </w:r>
      <w:r w:rsidRPr="00C01637">
        <w:rPr>
          <w:lang w:val="fr-FR"/>
        </w:rPr>
        <w:t>a pas été formellement convoqué à la réunion de la commission de discipline du 9 février 2010, fixée dans le cadre de la procédure pour l</w:t>
      </w:r>
      <w:r w:rsidR="00B42F86">
        <w:rPr>
          <w:lang w:val="fr-FR"/>
        </w:rPr>
        <w:t>’</w:t>
      </w:r>
      <w:r w:rsidRPr="00C01637">
        <w:rPr>
          <w:lang w:val="fr-FR"/>
        </w:rPr>
        <w:t xml:space="preserve">adoption du deuxième décret du recteur (paragraphe </w:t>
      </w:r>
      <w:r>
        <w:rPr>
          <w:lang w:val="fr-FR"/>
        </w:rPr>
        <w:t>17</w:t>
      </w:r>
      <w:r w:rsidRPr="00C01637">
        <w:rPr>
          <w:lang w:val="fr-FR"/>
        </w:rPr>
        <w:t xml:space="preserve"> ci-dessus). Cependant, </w:t>
      </w:r>
      <w:r>
        <w:rPr>
          <w:lang w:val="fr-FR"/>
        </w:rPr>
        <w:t xml:space="preserve">le </w:t>
      </w:r>
      <w:r w:rsidRPr="00C01637">
        <w:rPr>
          <w:lang w:val="fr-FR"/>
        </w:rPr>
        <w:t>Conseil d</w:t>
      </w:r>
      <w:r w:rsidR="00B42F86">
        <w:rPr>
          <w:lang w:val="fr-FR"/>
        </w:rPr>
        <w:t>’</w:t>
      </w:r>
      <w:r w:rsidRPr="00C01637">
        <w:rPr>
          <w:lang w:val="fr-FR"/>
        </w:rPr>
        <w:t>État a noté (paragraphe</w:t>
      </w:r>
      <w:r>
        <w:rPr>
          <w:lang w:val="fr-FR"/>
        </w:rPr>
        <w:t> 25</w:t>
      </w:r>
      <w:r w:rsidRPr="00C01637">
        <w:rPr>
          <w:lang w:val="fr-FR"/>
        </w:rPr>
        <w:t xml:space="preserve"> ci-dessus)</w:t>
      </w:r>
      <w:r>
        <w:rPr>
          <w:lang w:val="fr-FR"/>
        </w:rPr>
        <w:t xml:space="preserve"> que</w:t>
      </w:r>
      <w:r w:rsidRPr="00C01637">
        <w:rPr>
          <w:lang w:val="fr-FR"/>
        </w:rPr>
        <w:t xml:space="preserve"> le requérant avait été informé en temps utile de la fixation de la réunion en question et de son objet et </w:t>
      </w:r>
      <w:r>
        <w:rPr>
          <w:lang w:val="fr-FR"/>
        </w:rPr>
        <w:t>gardait la possibilité d</w:t>
      </w:r>
      <w:r w:rsidR="00B42F86">
        <w:rPr>
          <w:lang w:val="fr-FR"/>
        </w:rPr>
        <w:t>’</w:t>
      </w:r>
      <w:r>
        <w:rPr>
          <w:lang w:val="fr-FR"/>
        </w:rPr>
        <w:t>agir pour</w:t>
      </w:r>
      <w:r w:rsidRPr="00C01637">
        <w:rPr>
          <w:lang w:val="fr-FR"/>
        </w:rPr>
        <w:t xml:space="preserve"> présenter s</w:t>
      </w:r>
      <w:r>
        <w:rPr>
          <w:lang w:val="fr-FR"/>
        </w:rPr>
        <w:t>a</w:t>
      </w:r>
      <w:r w:rsidRPr="00C01637">
        <w:rPr>
          <w:lang w:val="fr-FR"/>
        </w:rPr>
        <w:t xml:space="preserve"> défense. En tout état de cause, il convient de noter que la procédure ayant débouché sur l</w:t>
      </w:r>
      <w:r w:rsidR="00B42F86">
        <w:rPr>
          <w:lang w:val="fr-FR"/>
        </w:rPr>
        <w:t>’</w:t>
      </w:r>
      <w:r w:rsidRPr="00C01637">
        <w:rPr>
          <w:lang w:val="fr-FR"/>
        </w:rPr>
        <w:t>adoption du deuxième décret du recteur visait uniquement à remédier au vice, relevé par le TAR, concernant la durée de l</w:t>
      </w:r>
      <w:r w:rsidR="00B42F86">
        <w:rPr>
          <w:lang w:val="fr-FR"/>
        </w:rPr>
        <w:t>’</w:t>
      </w:r>
      <w:r w:rsidRPr="00C01637">
        <w:rPr>
          <w:lang w:val="fr-FR"/>
        </w:rPr>
        <w:t xml:space="preserve">exclusion infligée au requérant. Cette durée ne pouvait que dépendre de la gravité de la conduite reprochée. Or, le requérant a pu présenter ses arguments sur ce point dans </w:t>
      </w:r>
      <w:r>
        <w:rPr>
          <w:lang w:val="fr-FR"/>
        </w:rPr>
        <w:t>son</w:t>
      </w:r>
      <w:r w:rsidRPr="00C01637">
        <w:rPr>
          <w:lang w:val="fr-FR"/>
        </w:rPr>
        <w:t xml:space="preserve"> mémoire écrit </w:t>
      </w:r>
      <w:r>
        <w:rPr>
          <w:lang w:val="fr-FR"/>
        </w:rPr>
        <w:t>du 10 juin 2009,</w:t>
      </w:r>
      <w:r w:rsidRPr="00C01637">
        <w:rPr>
          <w:lang w:val="fr-FR"/>
        </w:rPr>
        <w:t xml:space="preserve"> qui a été examiné par la commission de discipline (paragraphe</w:t>
      </w:r>
      <w:r>
        <w:rPr>
          <w:lang w:val="fr-FR"/>
        </w:rPr>
        <w:t>s 9 et</w:t>
      </w:r>
      <w:r w:rsidRPr="00C01637">
        <w:rPr>
          <w:lang w:val="fr-FR"/>
        </w:rPr>
        <w:t xml:space="preserve"> </w:t>
      </w:r>
      <w:r>
        <w:rPr>
          <w:lang w:val="fr-FR"/>
        </w:rPr>
        <w:t>11</w:t>
      </w:r>
      <w:r w:rsidRPr="00C01637">
        <w:rPr>
          <w:lang w:val="fr-FR"/>
        </w:rPr>
        <w:t xml:space="preserve"> ci-dessus).</w:t>
      </w:r>
    </w:p>
    <w:p w:rsidR="00786D0F" w:rsidRPr="00C01637" w:rsidRDefault="00786D0F" w:rsidP="00786D0F">
      <w:pPr>
        <w:pStyle w:val="ECHRPara"/>
        <w:rPr>
          <w:lang w:val="fr-FR"/>
        </w:rPr>
      </w:pPr>
      <w:r>
        <w:rPr>
          <w:lang w:val="fr-FR"/>
        </w:rPr>
        <w:t>58</w:t>
      </w:r>
      <w:r w:rsidRPr="00C01637">
        <w:rPr>
          <w:lang w:val="fr-FR"/>
        </w:rPr>
        <w:t>.  Dans ces circonstances, la Cour considère que la procédure devant la commission de discipline ne saurait être jugée inéquitable. Elle relève de surcroît que le requérant a eu la possibilité, dont il a fait usage, d</w:t>
      </w:r>
      <w:r w:rsidR="00B42F86">
        <w:rPr>
          <w:lang w:val="fr-FR"/>
        </w:rPr>
        <w:t>’</w:t>
      </w:r>
      <w:r w:rsidRPr="00C01637">
        <w:rPr>
          <w:lang w:val="fr-FR"/>
        </w:rPr>
        <w:t>attaquer les décrets du recteur devant le TAR et d</w:t>
      </w:r>
      <w:r w:rsidR="00B42F86">
        <w:rPr>
          <w:lang w:val="fr-FR"/>
        </w:rPr>
        <w:t>’</w:t>
      </w:r>
      <w:r w:rsidRPr="00C01637">
        <w:rPr>
          <w:lang w:val="fr-FR"/>
        </w:rPr>
        <w:t>interjeter appel contre le jugement de celui-ci devant le Conseil d</w:t>
      </w:r>
      <w:r w:rsidR="00B42F86">
        <w:rPr>
          <w:lang w:val="fr-FR"/>
        </w:rPr>
        <w:t>’</w:t>
      </w:r>
      <w:r w:rsidRPr="00C01637">
        <w:rPr>
          <w:lang w:val="fr-FR"/>
        </w:rPr>
        <w:t>État. Les juridictions administratives étaient compétentes non seulement à prononcer le sursis des mesures litigieuses, mais aussi à examiner si la procédure devant la commission de discipline avait été conforme à la loi et si les décrets du recteur s</w:t>
      </w:r>
      <w:r w:rsidR="00B42F86">
        <w:rPr>
          <w:lang w:val="fr-FR"/>
        </w:rPr>
        <w:t>’</w:t>
      </w:r>
      <w:r w:rsidRPr="00C01637">
        <w:rPr>
          <w:lang w:val="fr-FR"/>
        </w:rPr>
        <w:t>analysaient en un excès de pouvoir à cause de leur caractère manifestement illogique, de leur nature contradictoire ou d</w:t>
      </w:r>
      <w:r w:rsidR="00B42F86">
        <w:rPr>
          <w:lang w:val="fr-FR"/>
        </w:rPr>
        <w:t>’</w:t>
      </w:r>
      <w:r w:rsidRPr="00C01637">
        <w:rPr>
          <w:lang w:val="fr-FR"/>
        </w:rPr>
        <w:t>une déformation des faits pertinents (paragraphe</w:t>
      </w:r>
      <w:r>
        <w:rPr>
          <w:lang w:val="fr-FR"/>
        </w:rPr>
        <w:t> 27</w:t>
      </w:r>
      <w:r w:rsidRPr="00C01637">
        <w:rPr>
          <w:lang w:val="fr-FR"/>
        </w:rPr>
        <w:t xml:space="preserve"> ci-dessus). Le requérant a ainsi pu soumettre les décrets litigieux </w:t>
      </w:r>
      <w:r>
        <w:rPr>
          <w:lang w:val="fr-FR"/>
        </w:rPr>
        <w:t xml:space="preserve">à des </w:t>
      </w:r>
      <w:r w:rsidRPr="00C01637">
        <w:rPr>
          <w:lang w:val="fr-FR"/>
        </w:rPr>
        <w:t>organes judiciaires</w:t>
      </w:r>
      <w:r>
        <w:rPr>
          <w:lang w:val="fr-FR"/>
        </w:rPr>
        <w:t xml:space="preserve"> exerçant</w:t>
      </w:r>
      <w:r w:rsidRPr="00250BB0">
        <w:rPr>
          <w:lang w:val="fr-FR"/>
        </w:rPr>
        <w:t xml:space="preserve"> un « contrôle juridictionnel suffisant » </w:t>
      </w:r>
      <w:r>
        <w:rPr>
          <w:lang w:val="fr-FR"/>
        </w:rPr>
        <w:t>aux sens de la jurisprudence de la Cour</w:t>
      </w:r>
      <w:r w:rsidRPr="00250BB0">
        <w:rPr>
          <w:lang w:val="fr-FR"/>
        </w:rPr>
        <w:t xml:space="preserve"> (</w:t>
      </w:r>
      <w:r>
        <w:rPr>
          <w:lang w:val="fr-FR"/>
        </w:rPr>
        <w:t xml:space="preserve">voir, notamment et </w:t>
      </w:r>
      <w:r>
        <w:rPr>
          <w:i/>
          <w:lang w:val="fr-FR"/>
        </w:rPr>
        <w:t>mutatis mutandis</w:t>
      </w:r>
      <w:r>
        <w:rPr>
          <w:lang w:val="fr-FR"/>
        </w:rPr>
        <w:t xml:space="preserve">, </w:t>
      </w:r>
      <w:r>
        <w:rPr>
          <w:i/>
          <w:lang w:val="fr-FR"/>
        </w:rPr>
        <w:t>Crompton c.</w:t>
      </w:r>
      <w:r w:rsidR="00AD5A90">
        <w:rPr>
          <w:i/>
          <w:lang w:val="fr-FR"/>
        </w:rPr>
        <w:t xml:space="preserve"> </w:t>
      </w:r>
      <w:r w:rsidRPr="00A846EA">
        <w:rPr>
          <w:i/>
          <w:lang w:val="fr-FR"/>
        </w:rPr>
        <w:t>Royaume-Uni</w:t>
      </w:r>
      <w:r w:rsidRPr="00A846EA">
        <w:rPr>
          <w:lang w:val="fr-FR"/>
        </w:rPr>
        <w:t>, n</w:t>
      </w:r>
      <w:r w:rsidR="0092451F" w:rsidRPr="0092451F">
        <w:rPr>
          <w:vertAlign w:val="superscript"/>
          <w:lang w:val="fr-FR"/>
        </w:rPr>
        <w:t>o</w:t>
      </w:r>
      <w:r w:rsidR="00AD5A90">
        <w:rPr>
          <w:lang w:val="fr-FR"/>
        </w:rPr>
        <w:t xml:space="preserve"> </w:t>
      </w:r>
      <w:r w:rsidRPr="00A846EA">
        <w:rPr>
          <w:lang w:val="fr-FR"/>
        </w:rPr>
        <w:t>42509/05</w:t>
      </w:r>
      <w:r w:rsidRPr="00A846EA">
        <w:rPr>
          <w:snapToGrid w:val="0"/>
          <w:lang w:val="fr-FR"/>
        </w:rPr>
        <w:t>, §</w:t>
      </w:r>
      <w:r>
        <w:rPr>
          <w:snapToGrid w:val="0"/>
          <w:lang w:val="fr-FR"/>
        </w:rPr>
        <w:t>§ 71-79</w:t>
      </w:r>
      <w:r w:rsidRPr="00A846EA">
        <w:rPr>
          <w:snapToGrid w:val="0"/>
          <w:lang w:val="fr-FR"/>
        </w:rPr>
        <w:t>, 27</w:t>
      </w:r>
      <w:r>
        <w:rPr>
          <w:snapToGrid w:val="0"/>
          <w:lang w:val="fr-FR"/>
        </w:rPr>
        <w:t> </w:t>
      </w:r>
      <w:r w:rsidRPr="00A846EA">
        <w:rPr>
          <w:lang w:val="fr-FR"/>
        </w:rPr>
        <w:t>octobre</w:t>
      </w:r>
      <w:r w:rsidRPr="00A846EA">
        <w:rPr>
          <w:snapToGrid w:val="0"/>
          <w:lang w:val="fr-FR"/>
        </w:rPr>
        <w:t xml:space="preserve"> 2009</w:t>
      </w:r>
      <w:r>
        <w:rPr>
          <w:snapToGrid w:val="0"/>
          <w:lang w:val="fr-FR"/>
        </w:rPr>
        <w:t xml:space="preserve">, et </w:t>
      </w:r>
      <w:r w:rsidRPr="004C165F">
        <w:rPr>
          <w:i/>
          <w:lang w:val="fr-FR"/>
        </w:rPr>
        <w:t>Sigma Radio Television Ltd</w:t>
      </w:r>
      <w:r>
        <w:rPr>
          <w:i/>
          <w:lang w:val="fr-FR"/>
        </w:rPr>
        <w:t xml:space="preserve"> c. Chypre</w:t>
      </w:r>
      <w:r>
        <w:rPr>
          <w:lang w:val="fr-FR"/>
        </w:rPr>
        <w:t>,</w:t>
      </w:r>
      <w:r>
        <w:rPr>
          <w:snapToGrid w:val="0"/>
          <w:lang w:val="fr-FR"/>
        </w:rPr>
        <w:t xml:space="preserve"> n</w:t>
      </w:r>
      <w:r w:rsidRPr="00E52462">
        <w:rPr>
          <w:snapToGrid w:val="0"/>
          <w:vertAlign w:val="superscript"/>
          <w:lang w:val="fr-FR"/>
        </w:rPr>
        <w:t>os</w:t>
      </w:r>
      <w:r>
        <w:rPr>
          <w:snapToGrid w:val="0"/>
          <w:lang w:val="fr-FR"/>
        </w:rPr>
        <w:t xml:space="preserve"> </w:t>
      </w:r>
      <w:r w:rsidRPr="00E52462">
        <w:rPr>
          <w:lang w:val="fr-FR"/>
        </w:rPr>
        <w:t>32181/04 et 35122/05,</w:t>
      </w:r>
      <w:r>
        <w:rPr>
          <w:lang w:val="fr-FR"/>
        </w:rPr>
        <w:t xml:space="preserve"> </w:t>
      </w:r>
      <w:r>
        <w:rPr>
          <w:snapToGrid w:val="0"/>
          <w:szCs w:val="24"/>
          <w:lang w:val="fr-FR"/>
        </w:rPr>
        <w:t>§§ 152-169, 21</w:t>
      </w:r>
      <w:r w:rsidR="00AD5A90">
        <w:rPr>
          <w:snapToGrid w:val="0"/>
          <w:szCs w:val="24"/>
          <w:lang w:val="fr-FR"/>
        </w:rPr>
        <w:t xml:space="preserve"> </w:t>
      </w:r>
      <w:r>
        <w:rPr>
          <w:snapToGrid w:val="0"/>
          <w:szCs w:val="24"/>
          <w:lang w:val="fr-FR"/>
        </w:rPr>
        <w:t>juillet 2011</w:t>
      </w:r>
      <w:r>
        <w:rPr>
          <w:snapToGrid w:val="0"/>
          <w:lang w:val="fr-FR"/>
        </w:rPr>
        <w:t>)</w:t>
      </w:r>
      <w:r w:rsidRPr="00C01637">
        <w:rPr>
          <w:lang w:val="fr-FR"/>
        </w:rPr>
        <w:t xml:space="preserve">. </w:t>
      </w:r>
      <w:r>
        <w:rPr>
          <w:rFonts w:cstheme="minorHAnsi"/>
          <w:lang w:val="fr-FR"/>
        </w:rPr>
        <w:t>À</w:t>
      </w:r>
      <w:r>
        <w:rPr>
          <w:lang w:val="fr-FR"/>
        </w:rPr>
        <w:t xml:space="preserve"> cet égard, il convient de rappeler </w:t>
      </w:r>
      <w:r>
        <w:rPr>
          <w:snapToGrid w:val="0"/>
          <w:szCs w:val="24"/>
          <w:lang w:val="fr-FR"/>
        </w:rPr>
        <w:t xml:space="preserve">que </w:t>
      </w:r>
      <w:r w:rsidRPr="004F2473">
        <w:rPr>
          <w:lang w:val="fr-FR"/>
        </w:rPr>
        <w:t>le rôle de l</w:t>
      </w:r>
      <w:r w:rsidR="00B42F86">
        <w:rPr>
          <w:lang w:val="fr-FR"/>
        </w:rPr>
        <w:t>’</w:t>
      </w:r>
      <w:r w:rsidRPr="004F2473">
        <w:rPr>
          <w:lang w:val="fr-FR"/>
        </w:rPr>
        <w:t>article 6 n</w:t>
      </w:r>
      <w:r w:rsidR="00B42F86">
        <w:rPr>
          <w:lang w:val="fr-FR"/>
        </w:rPr>
        <w:t>’</w:t>
      </w:r>
      <w:r>
        <w:rPr>
          <w:lang w:val="fr-FR"/>
        </w:rPr>
        <w:t>est</w:t>
      </w:r>
      <w:r w:rsidRPr="004F2473">
        <w:rPr>
          <w:lang w:val="fr-FR"/>
        </w:rPr>
        <w:t xml:space="preserve"> pas de garantir l</w:t>
      </w:r>
      <w:r w:rsidR="00B42F86">
        <w:rPr>
          <w:lang w:val="fr-FR"/>
        </w:rPr>
        <w:t>’</w:t>
      </w:r>
      <w:r w:rsidRPr="004F2473">
        <w:rPr>
          <w:lang w:val="fr-FR"/>
        </w:rPr>
        <w:t>accès à un tribunal qui pourrait substituer son propre avis à celui des autorités administratives</w:t>
      </w:r>
      <w:r>
        <w:rPr>
          <w:lang w:val="fr-FR"/>
        </w:rPr>
        <w:t xml:space="preserve"> (</w:t>
      </w:r>
      <w:r w:rsidRPr="004C165F">
        <w:rPr>
          <w:i/>
          <w:lang w:val="fr-FR"/>
        </w:rPr>
        <w:t>Sigma Radio Television Ltd</w:t>
      </w:r>
      <w:r>
        <w:rPr>
          <w:lang w:val="fr-FR"/>
        </w:rPr>
        <w:t>,</w:t>
      </w:r>
      <w:r>
        <w:rPr>
          <w:snapToGrid w:val="0"/>
          <w:lang w:val="fr-FR"/>
        </w:rPr>
        <w:t xml:space="preserve"> précité, </w:t>
      </w:r>
      <w:r>
        <w:rPr>
          <w:snapToGrid w:val="0"/>
          <w:szCs w:val="24"/>
          <w:lang w:val="fr-FR"/>
        </w:rPr>
        <w:t>§ 153</w:t>
      </w:r>
      <w:r>
        <w:rPr>
          <w:lang w:val="fr-FR"/>
        </w:rPr>
        <w:t>).</w:t>
      </w:r>
    </w:p>
    <w:p w:rsidR="00786D0F" w:rsidRPr="00C01637" w:rsidRDefault="00786D0F" w:rsidP="00786D0F">
      <w:pPr>
        <w:pStyle w:val="ECHRPara"/>
        <w:rPr>
          <w:lang w:val="fr-FR"/>
        </w:rPr>
      </w:pPr>
      <w:r>
        <w:rPr>
          <w:lang w:val="fr-FR"/>
        </w:rPr>
        <w:t>59</w:t>
      </w:r>
      <w:r w:rsidRPr="00C01637">
        <w:rPr>
          <w:lang w:val="fr-FR"/>
        </w:rPr>
        <w:t>.  Il est vrai que le requérant se plaint du fait que le TAR et le Conseil d</w:t>
      </w:r>
      <w:r w:rsidR="00B42F86">
        <w:rPr>
          <w:lang w:val="fr-FR"/>
        </w:rPr>
        <w:t>’</w:t>
      </w:r>
      <w:r w:rsidRPr="00C01637">
        <w:rPr>
          <w:lang w:val="fr-FR"/>
        </w:rPr>
        <w:t>État n</w:t>
      </w:r>
      <w:r w:rsidR="00B42F86">
        <w:rPr>
          <w:lang w:val="fr-FR"/>
        </w:rPr>
        <w:t>’</w:t>
      </w:r>
      <w:r w:rsidRPr="00C01637">
        <w:rPr>
          <w:lang w:val="fr-FR"/>
        </w:rPr>
        <w:t>avaient pas la faculté de convoquer des témoins. Cependant, il ne ressort pas du dossier que le requérant ait demandé la convocation et l</w:t>
      </w:r>
      <w:r w:rsidR="00B42F86">
        <w:rPr>
          <w:lang w:val="fr-FR"/>
        </w:rPr>
        <w:t>’</w:t>
      </w:r>
      <w:r w:rsidRPr="00C01637">
        <w:rPr>
          <w:lang w:val="fr-FR"/>
        </w:rPr>
        <w:t>audition de témoins devant la commission de discipline, et devant la Cour l</w:t>
      </w:r>
      <w:r w:rsidR="00B42F86">
        <w:rPr>
          <w:lang w:val="fr-FR"/>
        </w:rPr>
        <w:t>’</w:t>
      </w:r>
      <w:r w:rsidRPr="00C01637">
        <w:rPr>
          <w:lang w:val="fr-FR"/>
        </w:rPr>
        <w:t>intéressé n</w:t>
      </w:r>
      <w:r w:rsidR="00B42F86">
        <w:rPr>
          <w:lang w:val="fr-FR"/>
        </w:rPr>
        <w:t>’</w:t>
      </w:r>
      <w:r w:rsidRPr="00C01637">
        <w:rPr>
          <w:lang w:val="fr-FR"/>
        </w:rPr>
        <w:t>a pas indiqué les témoins dont l</w:t>
      </w:r>
      <w:r w:rsidR="00B42F86">
        <w:rPr>
          <w:lang w:val="fr-FR"/>
        </w:rPr>
        <w:t>’</w:t>
      </w:r>
      <w:r w:rsidRPr="00C01637">
        <w:rPr>
          <w:lang w:val="fr-FR"/>
        </w:rPr>
        <w:t>audition aurait été refusée et les raisons pour lesquelles leur témoignage aurait été décisif pour l</w:t>
      </w:r>
      <w:r w:rsidR="00B42F86">
        <w:rPr>
          <w:lang w:val="fr-FR"/>
        </w:rPr>
        <w:t>’</w:t>
      </w:r>
      <w:r w:rsidRPr="00C01637">
        <w:rPr>
          <w:lang w:val="fr-FR"/>
        </w:rPr>
        <w:t xml:space="preserve">issue de </w:t>
      </w:r>
      <w:r w:rsidRPr="00C01637">
        <w:rPr>
          <w:lang w:val="fr-FR"/>
        </w:rPr>
        <w:lastRenderedPageBreak/>
        <w:t>son affaire. Il n</w:t>
      </w:r>
      <w:r w:rsidR="00B42F86">
        <w:rPr>
          <w:lang w:val="fr-FR"/>
        </w:rPr>
        <w:t>’</w:t>
      </w:r>
      <w:r w:rsidRPr="00C01637">
        <w:rPr>
          <w:lang w:val="fr-FR"/>
        </w:rPr>
        <w:t xml:space="preserve">a donc pas étayé son grief (voir, </w:t>
      </w:r>
      <w:r w:rsidRPr="00C01637">
        <w:rPr>
          <w:i/>
          <w:lang w:val="fr-FR"/>
        </w:rPr>
        <w:t>mutatis mutandis</w:t>
      </w:r>
      <w:r w:rsidRPr="00C01637">
        <w:rPr>
          <w:lang w:val="fr-FR"/>
        </w:rPr>
        <w:t xml:space="preserve">, </w:t>
      </w:r>
      <w:r w:rsidRPr="00C01637">
        <w:rPr>
          <w:i/>
          <w:lang w:val="fr-FR"/>
        </w:rPr>
        <w:t>Grande Stevens et autres c. Italie</w:t>
      </w:r>
      <w:r w:rsidRPr="00C01637">
        <w:rPr>
          <w:lang w:val="fr-FR"/>
        </w:rPr>
        <w:t>, n</w:t>
      </w:r>
      <w:r w:rsidRPr="00C01637">
        <w:rPr>
          <w:vertAlign w:val="superscript"/>
          <w:lang w:val="fr-FR"/>
        </w:rPr>
        <w:t>os</w:t>
      </w:r>
      <w:r w:rsidRPr="00C01637">
        <w:rPr>
          <w:lang w:val="fr-FR"/>
        </w:rPr>
        <w:t xml:space="preserve"> 18640/10, 18647/10, 18663/10, 18668/10 et 18698/10, § 150, 4 mars 2014).</w:t>
      </w:r>
    </w:p>
    <w:p w:rsidR="0092451F" w:rsidRDefault="00786D0F" w:rsidP="00786D0F">
      <w:pPr>
        <w:pStyle w:val="ECHRPara"/>
        <w:rPr>
          <w:lang w:val="fr-FR"/>
        </w:rPr>
      </w:pPr>
      <w:r>
        <w:rPr>
          <w:lang w:val="fr-FR"/>
        </w:rPr>
        <w:t>60</w:t>
      </w:r>
      <w:r w:rsidRPr="00C01637">
        <w:rPr>
          <w:lang w:val="fr-FR"/>
        </w:rPr>
        <w:t>.  Au demeurant, il convient d</w:t>
      </w:r>
      <w:r w:rsidR="00B42F86">
        <w:rPr>
          <w:lang w:val="fr-FR"/>
        </w:rPr>
        <w:t>’</w:t>
      </w:r>
      <w:r w:rsidRPr="00C01637">
        <w:rPr>
          <w:lang w:val="fr-FR"/>
        </w:rPr>
        <w:t>observer que les allégations du requérant quant au « climat » défavorable dans lequel la procédure disciplinaire se serait déroulée, à l</w:t>
      </w:r>
      <w:r w:rsidR="00B42F86">
        <w:rPr>
          <w:lang w:val="fr-FR"/>
        </w:rPr>
        <w:t>’</w:t>
      </w:r>
      <w:r w:rsidRPr="00C01637">
        <w:rPr>
          <w:lang w:val="fr-FR"/>
        </w:rPr>
        <w:t>« obstructionnisme » du personnel de l</w:t>
      </w:r>
      <w:r w:rsidR="00B42F86">
        <w:rPr>
          <w:lang w:val="fr-FR"/>
        </w:rPr>
        <w:t>’</w:t>
      </w:r>
      <w:r w:rsidRPr="00C01637">
        <w:rPr>
          <w:lang w:val="fr-FR"/>
        </w:rPr>
        <w:t>université et aux « pressions » dont l</w:t>
      </w:r>
      <w:r w:rsidR="00B42F86">
        <w:rPr>
          <w:lang w:val="fr-FR"/>
        </w:rPr>
        <w:t>’</w:t>
      </w:r>
      <w:r w:rsidRPr="00C01637">
        <w:rPr>
          <w:lang w:val="fr-FR"/>
        </w:rPr>
        <w:t>intéressé aurait été victime, ne se fondent sur aucun élément objectif et ne sauraient, en tant que telles, être prises en considération par la Cour.</w:t>
      </w:r>
    </w:p>
    <w:p w:rsidR="0092451F" w:rsidRDefault="00786D0F" w:rsidP="00786D0F">
      <w:pPr>
        <w:pStyle w:val="ECHRPara"/>
        <w:rPr>
          <w:lang w:val="fr-FR"/>
        </w:rPr>
      </w:pPr>
      <w:r>
        <w:rPr>
          <w:lang w:val="fr-FR"/>
        </w:rPr>
        <w:t>61</w:t>
      </w:r>
      <w:r w:rsidRPr="00C01637">
        <w:rPr>
          <w:lang w:val="fr-FR"/>
        </w:rPr>
        <w:t>.  Dans la mesure où le requérant se plaint du fait que le premier décret du recteur lui avait infligé une sanction (l</w:t>
      </w:r>
      <w:r w:rsidR="00B42F86">
        <w:rPr>
          <w:lang w:val="fr-FR"/>
        </w:rPr>
        <w:t>’</w:t>
      </w:r>
      <w:r w:rsidRPr="00C01637">
        <w:rPr>
          <w:lang w:val="fr-FR"/>
        </w:rPr>
        <w:t>exclusion sans limites temporelles) non prévue par la loi, la Cour relève que cette irrégularité a été relevé</w:t>
      </w:r>
      <w:r>
        <w:rPr>
          <w:lang w:val="fr-FR"/>
        </w:rPr>
        <w:t>e</w:t>
      </w:r>
      <w:r w:rsidRPr="00C01637">
        <w:rPr>
          <w:lang w:val="fr-FR"/>
        </w:rPr>
        <w:t xml:space="preserve"> par le TAR et que, dans son deuxième décret, le recteur s</w:t>
      </w:r>
      <w:r w:rsidR="00B42F86">
        <w:rPr>
          <w:lang w:val="fr-FR"/>
        </w:rPr>
        <w:t>’</w:t>
      </w:r>
      <w:r w:rsidRPr="00C01637">
        <w:rPr>
          <w:lang w:val="fr-FR"/>
        </w:rPr>
        <w:t xml:space="preserve">est conformé </w:t>
      </w:r>
      <w:r>
        <w:rPr>
          <w:lang w:val="fr-FR"/>
        </w:rPr>
        <w:t>aux considérations</w:t>
      </w:r>
      <w:r w:rsidRPr="00C01637">
        <w:rPr>
          <w:lang w:val="fr-FR"/>
        </w:rPr>
        <w:t xml:space="preserve"> de la juridiction administrative et a ramené la durée de l</w:t>
      </w:r>
      <w:r w:rsidR="00B42F86">
        <w:rPr>
          <w:lang w:val="fr-FR"/>
        </w:rPr>
        <w:t>’</w:t>
      </w:r>
      <w:r w:rsidRPr="00C01637">
        <w:rPr>
          <w:lang w:val="fr-FR"/>
        </w:rPr>
        <w:t>exclusion à trois ans. Ceci a privé le requérant de la qualité de « victime » par rapport au fait susmentionné.</w:t>
      </w:r>
    </w:p>
    <w:p w:rsidR="0092451F" w:rsidRDefault="00786D0F" w:rsidP="00786D0F">
      <w:pPr>
        <w:pStyle w:val="ECHRPara"/>
        <w:rPr>
          <w:lang w:val="fr-FR"/>
        </w:rPr>
      </w:pPr>
      <w:r>
        <w:rPr>
          <w:lang w:val="fr-FR"/>
        </w:rPr>
        <w:t>62</w:t>
      </w:r>
      <w:r w:rsidRPr="00C01637">
        <w:rPr>
          <w:lang w:val="fr-FR"/>
        </w:rPr>
        <w:t>.  Pour ce qui est, enfin, de l</w:t>
      </w:r>
      <w:r w:rsidR="00B42F86">
        <w:rPr>
          <w:lang w:val="fr-FR"/>
        </w:rPr>
        <w:t>’</w:t>
      </w:r>
      <w:r w:rsidRPr="00C01637">
        <w:rPr>
          <w:lang w:val="fr-FR"/>
        </w:rPr>
        <w:t>utilisation de courriels privés et de l</w:t>
      </w:r>
      <w:r w:rsidR="00B42F86">
        <w:rPr>
          <w:lang w:val="fr-FR"/>
        </w:rPr>
        <w:t>’</w:t>
      </w:r>
      <w:r w:rsidRPr="00C01637">
        <w:rPr>
          <w:lang w:val="fr-FR"/>
        </w:rPr>
        <w:t xml:space="preserve">allégation du requérant selon laquelle toute reproche dirigée à son encontre était dépourvue de fondement, la Cour rappelle que la </w:t>
      </w:r>
      <w:r w:rsidRPr="00C01637">
        <w:rPr>
          <w:szCs w:val="24"/>
          <w:lang w:val="fr-FR"/>
        </w:rPr>
        <w:t>recevabilité des preuves relève des règles du droit interne et des juridictions nationales (</w:t>
      </w:r>
      <w:r w:rsidRPr="00C01637">
        <w:rPr>
          <w:i/>
          <w:szCs w:val="24"/>
          <w:lang w:val="fr-FR"/>
        </w:rPr>
        <w:t>Gäfgen c. Allemagne</w:t>
      </w:r>
      <w:r w:rsidRPr="00C01637">
        <w:rPr>
          <w:szCs w:val="24"/>
          <w:lang w:val="fr-FR"/>
        </w:rPr>
        <w:t xml:space="preserve"> [GC], n</w:t>
      </w:r>
      <w:r w:rsidRPr="00C01637">
        <w:rPr>
          <w:szCs w:val="24"/>
          <w:vertAlign w:val="superscript"/>
          <w:lang w:val="fr-FR"/>
        </w:rPr>
        <w:t>o</w:t>
      </w:r>
      <w:r w:rsidR="00AD5A90">
        <w:rPr>
          <w:szCs w:val="24"/>
          <w:vertAlign w:val="superscript"/>
          <w:lang w:val="fr-FR"/>
        </w:rPr>
        <w:t xml:space="preserve"> </w:t>
      </w:r>
      <w:r w:rsidRPr="00C01637">
        <w:rPr>
          <w:szCs w:val="24"/>
          <w:lang w:val="fr-FR"/>
        </w:rPr>
        <w:t>22978/05, § 162, CEDH</w:t>
      </w:r>
      <w:r w:rsidR="00AD5A90">
        <w:rPr>
          <w:szCs w:val="24"/>
          <w:lang w:val="fr-FR"/>
        </w:rPr>
        <w:t xml:space="preserve"> </w:t>
      </w:r>
      <w:r w:rsidRPr="00C01637">
        <w:rPr>
          <w:szCs w:val="24"/>
          <w:lang w:val="fr-FR"/>
        </w:rPr>
        <w:t xml:space="preserve">2010, et </w:t>
      </w:r>
      <w:r w:rsidRPr="00C01637">
        <w:rPr>
          <w:i/>
          <w:szCs w:val="24"/>
          <w:lang w:val="fr-FR"/>
        </w:rPr>
        <w:t xml:space="preserve">Sampech c. Italie </w:t>
      </w:r>
      <w:r w:rsidRPr="00C01637">
        <w:rPr>
          <w:szCs w:val="24"/>
          <w:lang w:val="fr-FR"/>
        </w:rPr>
        <w:t>(déc.), n</w:t>
      </w:r>
      <w:r w:rsidR="0092451F" w:rsidRPr="0092451F">
        <w:rPr>
          <w:szCs w:val="24"/>
          <w:vertAlign w:val="superscript"/>
          <w:lang w:val="fr-FR"/>
        </w:rPr>
        <w:t>o</w:t>
      </w:r>
      <w:r w:rsidRPr="00C01637">
        <w:rPr>
          <w:szCs w:val="24"/>
          <w:lang w:val="fr-FR"/>
        </w:rPr>
        <w:t xml:space="preserve"> </w:t>
      </w:r>
      <w:r w:rsidRPr="00C01637">
        <w:rPr>
          <w:lang w:val="fr-FR"/>
        </w:rPr>
        <w:t>55546/09</w:t>
      </w:r>
      <w:r w:rsidRPr="00C01637">
        <w:rPr>
          <w:szCs w:val="24"/>
          <w:lang w:val="fr-FR"/>
        </w:rPr>
        <w:t>, § 98, 19</w:t>
      </w:r>
      <w:r w:rsidR="00AD5A90">
        <w:rPr>
          <w:szCs w:val="24"/>
          <w:lang w:val="fr-FR"/>
        </w:rPr>
        <w:t xml:space="preserve"> </w:t>
      </w:r>
      <w:r w:rsidRPr="00C01637">
        <w:rPr>
          <w:szCs w:val="24"/>
          <w:lang w:val="fr-FR"/>
        </w:rPr>
        <w:t>mai 2015)</w:t>
      </w:r>
      <w:r w:rsidRPr="00C01637">
        <w:rPr>
          <w:lang w:val="fr-FR"/>
        </w:rPr>
        <w:t>. De plus, il ne lui appartient pas de connaître des erreurs de fait ou de droit prétendument commises par une juridiction interne, sauf si et dans la mesure où elles pourraient avoir porté atteinte aux droits et libertés sauvegardés par la Convention</w:t>
      </w:r>
      <w:r w:rsidRPr="00C01637">
        <w:rPr>
          <w:i/>
          <w:lang w:val="fr-FR"/>
        </w:rPr>
        <w:t xml:space="preserve"> </w:t>
      </w:r>
      <w:r w:rsidRPr="00C01637">
        <w:rPr>
          <w:lang w:val="fr-FR"/>
        </w:rPr>
        <w:t>(</w:t>
      </w:r>
      <w:r w:rsidRPr="00C01637">
        <w:rPr>
          <w:i/>
          <w:lang w:val="fr-FR"/>
        </w:rPr>
        <w:t>García Ruiz c. Espagne</w:t>
      </w:r>
      <w:r w:rsidRPr="00C01637">
        <w:rPr>
          <w:lang w:val="fr-FR"/>
        </w:rPr>
        <w:t xml:space="preserve"> [GC], n</w:t>
      </w:r>
      <w:r w:rsidRPr="00C01637">
        <w:rPr>
          <w:vertAlign w:val="superscript"/>
          <w:lang w:val="fr-FR"/>
        </w:rPr>
        <w:t>o</w:t>
      </w:r>
      <w:r w:rsidRPr="00C01637">
        <w:rPr>
          <w:lang w:val="fr-FR"/>
        </w:rPr>
        <w:t xml:space="preserve"> 30544/96, § 28, CEDH 1999-I, et </w:t>
      </w:r>
      <w:r w:rsidRPr="00C01637">
        <w:rPr>
          <w:i/>
          <w:lang w:val="fr-FR"/>
        </w:rPr>
        <w:t>Khan c. Royaume-Uni</w:t>
      </w:r>
      <w:r w:rsidRPr="00C01637">
        <w:rPr>
          <w:lang w:val="fr-FR"/>
        </w:rPr>
        <w:t>, n</w:t>
      </w:r>
      <w:r w:rsidRPr="00C01637">
        <w:rPr>
          <w:vertAlign w:val="superscript"/>
          <w:lang w:val="fr-FR"/>
        </w:rPr>
        <w:t>o</w:t>
      </w:r>
      <w:r w:rsidR="00AD5A90">
        <w:rPr>
          <w:lang w:val="fr-FR"/>
        </w:rPr>
        <w:t xml:space="preserve"> </w:t>
      </w:r>
      <w:r w:rsidRPr="00C01637">
        <w:rPr>
          <w:lang w:val="fr-FR"/>
        </w:rPr>
        <w:t>35394/97, § 34, CEDH 2000-V), et il revient en principe aux juridictions nationales d</w:t>
      </w:r>
      <w:r w:rsidR="00B42F86">
        <w:rPr>
          <w:lang w:val="fr-FR"/>
        </w:rPr>
        <w:t>’</w:t>
      </w:r>
      <w:r w:rsidRPr="00C01637">
        <w:rPr>
          <w:lang w:val="fr-FR"/>
        </w:rPr>
        <w:t>apprécier les faits et d</w:t>
      </w:r>
      <w:r w:rsidR="00B42F86">
        <w:rPr>
          <w:lang w:val="fr-FR"/>
        </w:rPr>
        <w:t>’</w:t>
      </w:r>
      <w:r w:rsidRPr="00C01637">
        <w:rPr>
          <w:lang w:val="fr-FR"/>
        </w:rPr>
        <w:t>interpréter et appliquer le droit interne (</w:t>
      </w:r>
      <w:r w:rsidRPr="00C01637">
        <w:rPr>
          <w:i/>
          <w:lang w:val="fr-FR"/>
        </w:rPr>
        <w:t>Pacifico c.</w:t>
      </w:r>
      <w:r w:rsidR="00AD5A90">
        <w:rPr>
          <w:i/>
          <w:lang w:val="fr-FR"/>
        </w:rPr>
        <w:t xml:space="preserve"> </w:t>
      </w:r>
      <w:r w:rsidRPr="00C01637">
        <w:rPr>
          <w:i/>
          <w:lang w:val="fr-FR"/>
        </w:rPr>
        <w:t>Italie</w:t>
      </w:r>
      <w:r w:rsidRPr="00C01637">
        <w:rPr>
          <w:lang w:val="fr-FR"/>
        </w:rPr>
        <w:t xml:space="preserve"> (déc.), n</w:t>
      </w:r>
      <w:r w:rsidRPr="00C01637">
        <w:rPr>
          <w:vertAlign w:val="superscript"/>
          <w:lang w:val="fr-FR"/>
        </w:rPr>
        <w:t>o</w:t>
      </w:r>
      <w:r w:rsidR="00AD5A90">
        <w:rPr>
          <w:lang w:val="fr-FR"/>
        </w:rPr>
        <w:t xml:space="preserve"> </w:t>
      </w:r>
      <w:r w:rsidRPr="00C01637">
        <w:rPr>
          <w:lang w:val="fr-FR"/>
        </w:rPr>
        <w:t xml:space="preserve">17995/08, § 62, 20 novembre 2012, et </w:t>
      </w:r>
      <w:r w:rsidR="00AD5A90">
        <w:rPr>
          <w:i/>
          <w:lang w:val="fr-FR"/>
        </w:rPr>
        <w:t xml:space="preserve">Plesic c. </w:t>
      </w:r>
      <w:r w:rsidRPr="00C01637">
        <w:rPr>
          <w:i/>
          <w:lang w:val="fr-FR"/>
        </w:rPr>
        <w:t xml:space="preserve">Italie </w:t>
      </w:r>
      <w:r w:rsidRPr="00C01637">
        <w:rPr>
          <w:lang w:val="fr-FR"/>
        </w:rPr>
        <w:t>(déc.), n</w:t>
      </w:r>
      <w:r w:rsidRPr="00C01637">
        <w:rPr>
          <w:vertAlign w:val="superscript"/>
          <w:lang w:val="fr-FR"/>
        </w:rPr>
        <w:t>o</w:t>
      </w:r>
      <w:r w:rsidR="00AD5A90">
        <w:rPr>
          <w:lang w:val="fr-FR"/>
        </w:rPr>
        <w:t xml:space="preserve"> </w:t>
      </w:r>
      <w:r w:rsidRPr="00C01637">
        <w:rPr>
          <w:lang w:val="fr-FR"/>
        </w:rPr>
        <w:t>16065/09, § 33, 2 juillet 2013). En l</w:t>
      </w:r>
      <w:r w:rsidR="00B42F86">
        <w:rPr>
          <w:lang w:val="fr-FR"/>
        </w:rPr>
        <w:t>’</w:t>
      </w:r>
      <w:r w:rsidRPr="00C01637">
        <w:rPr>
          <w:lang w:val="fr-FR"/>
        </w:rPr>
        <w:t>espèce, la Cour ne voit pas en quoi l</w:t>
      </w:r>
      <w:r w:rsidR="00B42F86">
        <w:rPr>
          <w:lang w:val="fr-FR"/>
        </w:rPr>
        <w:t>’</w:t>
      </w:r>
      <w:r w:rsidRPr="00C01637">
        <w:rPr>
          <w:lang w:val="fr-FR"/>
        </w:rPr>
        <w:t>utilisation, pour la décision sur le bien-fondé des reproches disciplinaires, des courriels dont le requérant lui-même avouait être l</w:t>
      </w:r>
      <w:r w:rsidR="00B42F86">
        <w:rPr>
          <w:lang w:val="fr-FR"/>
        </w:rPr>
        <w:t>’</w:t>
      </w:r>
      <w:r w:rsidRPr="00C01637">
        <w:rPr>
          <w:lang w:val="fr-FR"/>
        </w:rPr>
        <w:t xml:space="preserve">auteur (paragraphe </w:t>
      </w:r>
      <w:r>
        <w:rPr>
          <w:lang w:val="fr-FR"/>
        </w:rPr>
        <w:t>11</w:t>
      </w:r>
      <w:r w:rsidRPr="00C01637">
        <w:rPr>
          <w:lang w:val="fr-FR"/>
        </w:rPr>
        <w:t xml:space="preserve"> ci-dessus) aurait pu porter atteinte à l</w:t>
      </w:r>
      <w:r w:rsidR="00B42F86">
        <w:rPr>
          <w:lang w:val="fr-FR"/>
        </w:rPr>
        <w:t>’</w:t>
      </w:r>
      <w:r w:rsidRPr="00C01637">
        <w:rPr>
          <w:lang w:val="fr-FR"/>
        </w:rPr>
        <w:t>équité de la procédure.</w:t>
      </w:r>
    </w:p>
    <w:p w:rsidR="00786D0F" w:rsidRPr="00C01637" w:rsidRDefault="00786D0F" w:rsidP="00786D0F">
      <w:pPr>
        <w:pStyle w:val="ECHRPara"/>
        <w:rPr>
          <w:lang w:val="fr-FR"/>
        </w:rPr>
      </w:pPr>
      <w:r>
        <w:rPr>
          <w:lang w:val="fr-FR"/>
        </w:rPr>
        <w:t>63</w:t>
      </w:r>
      <w:r w:rsidRPr="00C01637">
        <w:rPr>
          <w:lang w:val="fr-FR"/>
        </w:rPr>
        <w:t>.  </w:t>
      </w:r>
      <w:r w:rsidRPr="00C01637">
        <w:rPr>
          <w:snapToGrid w:val="0"/>
          <w:lang w:val="fr-FR"/>
        </w:rPr>
        <w:t>Il s</w:t>
      </w:r>
      <w:r w:rsidR="00B42F86">
        <w:rPr>
          <w:snapToGrid w:val="0"/>
          <w:lang w:val="fr-FR"/>
        </w:rPr>
        <w:t>’</w:t>
      </w:r>
      <w:r w:rsidRPr="00C01637">
        <w:rPr>
          <w:snapToGrid w:val="0"/>
          <w:lang w:val="fr-FR"/>
        </w:rPr>
        <w:t>ensuit que ce grief est manifestement mal fondé et doit être rejeté en application de l</w:t>
      </w:r>
      <w:r w:rsidR="00B42F86">
        <w:rPr>
          <w:snapToGrid w:val="0"/>
          <w:lang w:val="fr-FR"/>
        </w:rPr>
        <w:t>’</w:t>
      </w:r>
      <w:r w:rsidRPr="00C01637">
        <w:rPr>
          <w:snapToGrid w:val="0"/>
          <w:lang w:val="fr-FR"/>
        </w:rPr>
        <w:t>article 35 §§ 3</w:t>
      </w:r>
      <w:r w:rsidR="00AD5A90">
        <w:rPr>
          <w:snapToGrid w:val="0"/>
          <w:lang w:val="fr-FR"/>
        </w:rPr>
        <w:t xml:space="preserve"> </w:t>
      </w:r>
      <w:r w:rsidRPr="00C01637">
        <w:rPr>
          <w:lang w:val="fr-FR"/>
        </w:rPr>
        <w:t xml:space="preserve">a) </w:t>
      </w:r>
      <w:r w:rsidRPr="00C01637">
        <w:rPr>
          <w:snapToGrid w:val="0"/>
          <w:lang w:val="fr-FR"/>
        </w:rPr>
        <w:t>et 4 de la Convention.</w:t>
      </w:r>
    </w:p>
    <w:p w:rsidR="00786D0F" w:rsidRPr="00C01637" w:rsidRDefault="00786D0F" w:rsidP="00786D0F">
      <w:pPr>
        <w:pStyle w:val="ECHRHeading2"/>
        <w:rPr>
          <w:lang w:val="fr-FR"/>
        </w:rPr>
      </w:pPr>
      <w:r w:rsidRPr="00C01637">
        <w:rPr>
          <w:lang w:val="fr-FR"/>
        </w:rPr>
        <w:t>B.  Grief tiré de l</w:t>
      </w:r>
      <w:r w:rsidR="00B42F86">
        <w:rPr>
          <w:lang w:val="fr-FR"/>
        </w:rPr>
        <w:t>’</w:t>
      </w:r>
      <w:r w:rsidRPr="00C01637">
        <w:rPr>
          <w:lang w:val="fr-FR"/>
        </w:rPr>
        <w:t>article 13 de la Convention</w:t>
      </w:r>
    </w:p>
    <w:p w:rsidR="00786D0F" w:rsidRPr="00C01637" w:rsidRDefault="00786D0F" w:rsidP="00786D0F">
      <w:pPr>
        <w:pStyle w:val="ECHRPara"/>
        <w:rPr>
          <w:lang w:val="fr-FR"/>
        </w:rPr>
      </w:pPr>
      <w:r>
        <w:rPr>
          <w:lang w:val="fr-FR"/>
        </w:rPr>
        <w:t>64</w:t>
      </w:r>
      <w:r w:rsidRPr="00C01637">
        <w:rPr>
          <w:lang w:val="fr-FR"/>
        </w:rPr>
        <w:t>.  Le requérant se plaint de ne pas avoir disposé, au niveau national, d</w:t>
      </w:r>
      <w:r w:rsidR="00B42F86">
        <w:rPr>
          <w:lang w:val="fr-FR"/>
        </w:rPr>
        <w:t>’</w:t>
      </w:r>
      <w:r w:rsidRPr="00C01637">
        <w:rPr>
          <w:lang w:val="fr-FR"/>
        </w:rPr>
        <w:t>un recours effectif pour faire valoir ses droits.</w:t>
      </w:r>
    </w:p>
    <w:p w:rsidR="00786D0F" w:rsidRPr="00C01637" w:rsidRDefault="00786D0F" w:rsidP="00786D0F">
      <w:pPr>
        <w:pStyle w:val="ECHRPara"/>
        <w:rPr>
          <w:lang w:val="fr-FR"/>
        </w:rPr>
      </w:pPr>
      <w:r w:rsidRPr="00C01637">
        <w:rPr>
          <w:lang w:val="fr-FR"/>
        </w:rPr>
        <w:t>Il invoque l</w:t>
      </w:r>
      <w:r w:rsidR="00B42F86">
        <w:rPr>
          <w:lang w:val="fr-FR"/>
        </w:rPr>
        <w:t>’</w:t>
      </w:r>
      <w:r w:rsidRPr="00C01637">
        <w:rPr>
          <w:lang w:val="fr-FR"/>
        </w:rPr>
        <w:t>article 13 de la Convention, ainsi libellé :</w:t>
      </w:r>
    </w:p>
    <w:p w:rsidR="00786D0F" w:rsidRPr="00C01637" w:rsidRDefault="00786D0F" w:rsidP="0092451F">
      <w:pPr>
        <w:pStyle w:val="ECHRParaQuote"/>
        <w:keepNext/>
        <w:keepLines/>
        <w:rPr>
          <w:lang w:val="fr-FR"/>
        </w:rPr>
      </w:pPr>
      <w:r w:rsidRPr="00C01637">
        <w:rPr>
          <w:lang w:val="fr-FR"/>
        </w:rPr>
        <w:lastRenderedPageBreak/>
        <w:t>« Toute personne dont les droits et libertés reconnus dans la (...) Convention ont été violés, a droit à l</w:t>
      </w:r>
      <w:r w:rsidR="00B42F86">
        <w:rPr>
          <w:lang w:val="fr-FR"/>
        </w:rPr>
        <w:t>’</w:t>
      </w:r>
      <w:r w:rsidRPr="00C01637">
        <w:rPr>
          <w:lang w:val="fr-FR"/>
        </w:rPr>
        <w:t>octroi d</w:t>
      </w:r>
      <w:r w:rsidR="00B42F86">
        <w:rPr>
          <w:lang w:val="fr-FR"/>
        </w:rPr>
        <w:t>’</w:t>
      </w:r>
      <w:r w:rsidRPr="00C01637">
        <w:rPr>
          <w:lang w:val="fr-FR"/>
        </w:rPr>
        <w:t>un recours effectif devant une instance nationale, alors même que la violation aurait été commise par des personnes agissant dans l</w:t>
      </w:r>
      <w:r w:rsidR="00B42F86">
        <w:rPr>
          <w:lang w:val="fr-FR"/>
        </w:rPr>
        <w:t>’</w:t>
      </w:r>
      <w:r w:rsidRPr="00C01637">
        <w:rPr>
          <w:lang w:val="fr-FR"/>
        </w:rPr>
        <w:t>exercice de leurs fonctions officielles. »</w:t>
      </w:r>
    </w:p>
    <w:p w:rsidR="0092451F" w:rsidRDefault="00786D0F" w:rsidP="00786D0F">
      <w:pPr>
        <w:pStyle w:val="ECHRPara"/>
        <w:rPr>
          <w:lang w:val="fr-FR"/>
        </w:rPr>
      </w:pPr>
      <w:r>
        <w:rPr>
          <w:lang w:val="fr-FR"/>
        </w:rPr>
        <w:t>65</w:t>
      </w:r>
      <w:r w:rsidRPr="00413EE6">
        <w:rPr>
          <w:lang w:val="fr-FR"/>
        </w:rPr>
        <w:t>.  La Cour note que les griefs présentés par le requérant sous l</w:t>
      </w:r>
      <w:r w:rsidR="00B42F86">
        <w:rPr>
          <w:lang w:val="fr-FR"/>
        </w:rPr>
        <w:t>’</w:t>
      </w:r>
      <w:r w:rsidRPr="00413EE6">
        <w:rPr>
          <w:lang w:val="fr-FR"/>
        </w:rPr>
        <w:t>angle de l</w:t>
      </w:r>
      <w:r w:rsidR="00B42F86">
        <w:rPr>
          <w:lang w:val="fr-FR"/>
        </w:rPr>
        <w:t>’</w:t>
      </w:r>
      <w:r w:rsidRPr="00413EE6">
        <w:rPr>
          <w:lang w:val="fr-FR"/>
        </w:rPr>
        <w:t>article 13 coïncident dans une large mesure avec ceux tirés de l</w:t>
      </w:r>
      <w:r w:rsidR="00B42F86">
        <w:rPr>
          <w:lang w:val="fr-FR"/>
        </w:rPr>
        <w:t>’</w:t>
      </w:r>
      <w:r w:rsidRPr="00413EE6">
        <w:rPr>
          <w:lang w:val="fr-FR"/>
        </w:rPr>
        <w:t>article 6. Compte tenu des conclusions auxquelles elle est parvenue sur le terrain de ce dernier article, aucune question distincte ne se pose au regard de l</w:t>
      </w:r>
      <w:r w:rsidR="00B42F86">
        <w:rPr>
          <w:lang w:val="fr-FR"/>
        </w:rPr>
        <w:t>’</w:t>
      </w:r>
      <w:r w:rsidRPr="00413EE6">
        <w:rPr>
          <w:lang w:val="fr-FR"/>
        </w:rPr>
        <w:t>article 13 de la Convention. La Cour rappelle également que, quand le droit revendiqué est un droit de caractère civil, l</w:t>
      </w:r>
      <w:r w:rsidR="00B42F86">
        <w:rPr>
          <w:lang w:val="fr-FR"/>
        </w:rPr>
        <w:t>’</w:t>
      </w:r>
      <w:r w:rsidRPr="00413EE6">
        <w:rPr>
          <w:lang w:val="fr-FR"/>
        </w:rPr>
        <w:t xml:space="preserve">article 6 § 1 constitue une </w:t>
      </w:r>
      <w:r w:rsidRPr="00413EE6">
        <w:rPr>
          <w:rStyle w:val="wordhighlighted"/>
          <w:i/>
          <w:lang w:val="fr-FR"/>
        </w:rPr>
        <w:t>lex specialis</w:t>
      </w:r>
      <w:r w:rsidRPr="00413EE6">
        <w:rPr>
          <w:lang w:val="fr-FR"/>
        </w:rPr>
        <w:t xml:space="preserve"> par rapport à l</w:t>
      </w:r>
      <w:r w:rsidR="00B42F86">
        <w:rPr>
          <w:lang w:val="fr-FR"/>
        </w:rPr>
        <w:t>’</w:t>
      </w:r>
      <w:r w:rsidRPr="00413EE6">
        <w:rPr>
          <w:lang w:val="fr-FR"/>
        </w:rPr>
        <w:t>article 13, dont les garanties se trouvent absorbées par celle-ci (voir, parmi beaucoup d</w:t>
      </w:r>
      <w:r w:rsidR="00B42F86">
        <w:rPr>
          <w:lang w:val="fr-FR"/>
        </w:rPr>
        <w:t>’</w:t>
      </w:r>
      <w:r w:rsidRPr="00413EE6">
        <w:rPr>
          <w:lang w:val="fr-FR"/>
        </w:rPr>
        <w:t xml:space="preserve">autres, </w:t>
      </w:r>
      <w:r w:rsidRPr="00413EE6">
        <w:rPr>
          <w:i/>
          <w:lang w:val="fr-FR"/>
        </w:rPr>
        <w:t>Brualla Gómez de la Torre c. Espagne</w:t>
      </w:r>
      <w:r w:rsidRPr="00413EE6">
        <w:rPr>
          <w:lang w:val="fr-FR"/>
        </w:rPr>
        <w:t xml:space="preserve">, 19 décembre 1997, § 41, </w:t>
      </w:r>
      <w:r w:rsidRPr="00413EE6">
        <w:rPr>
          <w:i/>
          <w:lang w:val="fr-FR"/>
        </w:rPr>
        <w:t xml:space="preserve">Recueil </w:t>
      </w:r>
      <w:r w:rsidRPr="00413EE6">
        <w:rPr>
          <w:lang w:val="fr-FR"/>
        </w:rPr>
        <w:t xml:space="preserve">1997-VIII ; </w:t>
      </w:r>
      <w:r>
        <w:rPr>
          <w:i/>
          <w:lang w:val="fr-FR"/>
        </w:rPr>
        <w:t>Cordova c. </w:t>
      </w:r>
      <w:r w:rsidRPr="00413EE6">
        <w:rPr>
          <w:i/>
          <w:lang w:val="fr-FR"/>
        </w:rPr>
        <w:t>Italie (n</w:t>
      </w:r>
      <w:r w:rsidR="0092451F" w:rsidRPr="0092451F">
        <w:rPr>
          <w:i/>
          <w:vertAlign w:val="superscript"/>
          <w:lang w:val="fr-FR"/>
        </w:rPr>
        <w:t>o</w:t>
      </w:r>
      <w:r w:rsidRPr="00413EE6">
        <w:rPr>
          <w:i/>
          <w:lang w:val="fr-FR"/>
        </w:rPr>
        <w:t xml:space="preserve"> 2)</w:t>
      </w:r>
      <w:r w:rsidRPr="00413EE6">
        <w:rPr>
          <w:lang w:val="fr-FR"/>
        </w:rPr>
        <w:t>, n</w:t>
      </w:r>
      <w:r w:rsidR="0092451F" w:rsidRPr="0092451F">
        <w:rPr>
          <w:vertAlign w:val="superscript"/>
          <w:lang w:val="fr-FR"/>
        </w:rPr>
        <w:t>o</w:t>
      </w:r>
      <w:r w:rsidRPr="00413EE6">
        <w:rPr>
          <w:lang w:val="fr-FR"/>
        </w:rPr>
        <w:t xml:space="preserve"> 45649/99, § 71, CEDH 2003 ; et </w:t>
      </w:r>
      <w:r w:rsidRPr="00413EE6">
        <w:rPr>
          <w:i/>
          <w:lang w:val="fr-FR"/>
        </w:rPr>
        <w:t>Covezzi et Morselli c. Italie</w:t>
      </w:r>
      <w:r w:rsidRPr="00413EE6">
        <w:rPr>
          <w:lang w:val="fr-FR"/>
        </w:rPr>
        <w:t>, n</w:t>
      </w:r>
      <w:r w:rsidR="0092451F" w:rsidRPr="0092451F">
        <w:rPr>
          <w:vertAlign w:val="superscript"/>
          <w:lang w:val="fr-FR"/>
        </w:rPr>
        <w:t>o</w:t>
      </w:r>
      <w:r w:rsidRPr="00413EE6">
        <w:rPr>
          <w:lang w:val="fr-FR"/>
        </w:rPr>
        <w:t xml:space="preserve"> 52763/99, § 145, 9 mai 2003).</w:t>
      </w:r>
    </w:p>
    <w:p w:rsidR="00786D0F" w:rsidRDefault="00786D0F" w:rsidP="00786D0F">
      <w:pPr>
        <w:pStyle w:val="ECHRPara"/>
        <w:rPr>
          <w:lang w:val="fr-FR"/>
        </w:rPr>
      </w:pPr>
      <w:r>
        <w:rPr>
          <w:snapToGrid w:val="0"/>
          <w:lang w:val="fr-FR"/>
        </w:rPr>
        <w:t>66.  </w:t>
      </w:r>
      <w:r w:rsidRPr="00C01637">
        <w:rPr>
          <w:snapToGrid w:val="0"/>
          <w:lang w:val="fr-FR"/>
        </w:rPr>
        <w:t>Il s</w:t>
      </w:r>
      <w:r w:rsidR="00B42F86">
        <w:rPr>
          <w:snapToGrid w:val="0"/>
          <w:lang w:val="fr-FR"/>
        </w:rPr>
        <w:t>’</w:t>
      </w:r>
      <w:r w:rsidRPr="00C01637">
        <w:rPr>
          <w:snapToGrid w:val="0"/>
          <w:lang w:val="fr-FR"/>
        </w:rPr>
        <w:t>ensuit que ce grief est manifestement mal fondé et doit être rejeté en application de l</w:t>
      </w:r>
      <w:r w:rsidR="00B42F86">
        <w:rPr>
          <w:snapToGrid w:val="0"/>
          <w:lang w:val="fr-FR"/>
        </w:rPr>
        <w:t>’</w:t>
      </w:r>
      <w:r w:rsidRPr="00C01637">
        <w:rPr>
          <w:snapToGrid w:val="0"/>
          <w:lang w:val="fr-FR"/>
        </w:rPr>
        <w:t>article 35 §§ 3</w:t>
      </w:r>
      <w:r w:rsidR="00AD5A90">
        <w:rPr>
          <w:snapToGrid w:val="0"/>
          <w:lang w:val="fr-FR"/>
        </w:rPr>
        <w:t xml:space="preserve"> </w:t>
      </w:r>
      <w:r w:rsidRPr="00C01637">
        <w:rPr>
          <w:lang w:val="fr-FR"/>
        </w:rPr>
        <w:t xml:space="preserve">a) </w:t>
      </w:r>
      <w:r w:rsidRPr="00C01637">
        <w:rPr>
          <w:snapToGrid w:val="0"/>
          <w:lang w:val="fr-FR"/>
        </w:rPr>
        <w:t>et 4 de la Convention.</w:t>
      </w:r>
    </w:p>
    <w:p w:rsidR="00786D0F" w:rsidRPr="00C01637" w:rsidRDefault="00786D0F" w:rsidP="00786D0F">
      <w:pPr>
        <w:pStyle w:val="ECHRHeading2"/>
        <w:rPr>
          <w:lang w:val="fr-FR"/>
        </w:rPr>
      </w:pPr>
      <w:r w:rsidRPr="00C01637">
        <w:rPr>
          <w:lang w:val="fr-FR"/>
        </w:rPr>
        <w:t>C.  Grief tiré de l</w:t>
      </w:r>
      <w:r w:rsidR="00B42F86">
        <w:rPr>
          <w:lang w:val="fr-FR"/>
        </w:rPr>
        <w:t>’</w:t>
      </w:r>
      <w:r w:rsidRPr="00C01637">
        <w:rPr>
          <w:lang w:val="fr-FR"/>
        </w:rPr>
        <w:t>article 7 de la Convention</w:t>
      </w:r>
    </w:p>
    <w:p w:rsidR="00786D0F" w:rsidRPr="00C01637" w:rsidRDefault="00786D0F" w:rsidP="00786D0F">
      <w:pPr>
        <w:pStyle w:val="ECHRPara"/>
        <w:rPr>
          <w:lang w:val="fr-FR"/>
        </w:rPr>
      </w:pPr>
      <w:r>
        <w:rPr>
          <w:lang w:val="fr-FR"/>
        </w:rPr>
        <w:t>67</w:t>
      </w:r>
      <w:r w:rsidRPr="00C01637">
        <w:rPr>
          <w:lang w:val="fr-FR"/>
        </w:rPr>
        <w:t>.  Le requérant considère qu</w:t>
      </w:r>
      <w:r w:rsidR="00B42F86">
        <w:rPr>
          <w:lang w:val="fr-FR"/>
        </w:rPr>
        <w:t>’</w:t>
      </w:r>
      <w:r w:rsidRPr="00C01637">
        <w:rPr>
          <w:lang w:val="fr-FR"/>
        </w:rPr>
        <w:t xml:space="preserve">il y a eu violation du principe </w:t>
      </w:r>
      <w:r w:rsidRPr="00C01637">
        <w:rPr>
          <w:i/>
          <w:lang w:val="fr-FR"/>
        </w:rPr>
        <w:t>nullum crimen sine lege</w:t>
      </w:r>
      <w:r w:rsidRPr="00C01637">
        <w:rPr>
          <w:lang w:val="fr-FR"/>
        </w:rPr>
        <w:t>. Selon lui, les décisions internes rendues à son encontre ne mentionnaient de manière précise ni la conduite qui lui était reprochée ni les mots ou phrases prétendument injurieux. Ceci lui aurait empêché de se défendre et d</w:t>
      </w:r>
      <w:r w:rsidR="00B42F86">
        <w:rPr>
          <w:lang w:val="fr-FR"/>
        </w:rPr>
        <w:t>’</w:t>
      </w:r>
      <w:r w:rsidRPr="00C01637">
        <w:rPr>
          <w:lang w:val="fr-FR"/>
        </w:rPr>
        <w:t>évaluer si la sanction était adéquate. Cette dernière serait, au contraire, vague et arbitraire.</w:t>
      </w:r>
    </w:p>
    <w:p w:rsidR="00786D0F" w:rsidRPr="00C01637" w:rsidRDefault="00786D0F" w:rsidP="00786D0F">
      <w:pPr>
        <w:pStyle w:val="ECHRPara"/>
        <w:rPr>
          <w:lang w:val="fr-FR"/>
        </w:rPr>
      </w:pPr>
      <w:r w:rsidRPr="00C01637">
        <w:rPr>
          <w:lang w:val="fr-FR"/>
        </w:rPr>
        <w:t>Le requérant invoque l</w:t>
      </w:r>
      <w:r w:rsidR="00B42F86">
        <w:rPr>
          <w:lang w:val="fr-FR"/>
        </w:rPr>
        <w:t>’</w:t>
      </w:r>
      <w:r w:rsidRPr="00C01637">
        <w:rPr>
          <w:lang w:val="fr-FR"/>
        </w:rPr>
        <w:t>article 7 de la Convention, ainsi libellé :</w:t>
      </w:r>
    </w:p>
    <w:p w:rsidR="00786D0F" w:rsidRPr="00C01637" w:rsidRDefault="00786D0F" w:rsidP="00786D0F">
      <w:pPr>
        <w:pStyle w:val="ECHRParaQuote"/>
        <w:rPr>
          <w:lang w:val="fr-FR"/>
        </w:rPr>
      </w:pPr>
      <w:r w:rsidRPr="00C01637">
        <w:rPr>
          <w:lang w:val="fr-FR"/>
        </w:rPr>
        <w:t>« 1.  Nul ne peut être condamné pour une action ou une omission qui, au moment où elle a été commise, ne constituait pas une infraction d</w:t>
      </w:r>
      <w:r w:rsidR="00B42F86">
        <w:rPr>
          <w:lang w:val="fr-FR"/>
        </w:rPr>
        <w:t>’</w:t>
      </w:r>
      <w:r w:rsidRPr="00C01637">
        <w:rPr>
          <w:lang w:val="fr-FR"/>
        </w:rPr>
        <w:t>après le droit national ou international. De même il n</w:t>
      </w:r>
      <w:r w:rsidR="00B42F86">
        <w:rPr>
          <w:lang w:val="fr-FR"/>
        </w:rPr>
        <w:t>’</w:t>
      </w:r>
      <w:r w:rsidRPr="00C01637">
        <w:rPr>
          <w:lang w:val="fr-FR"/>
        </w:rPr>
        <w:t>est infligé aucune peine plus forte que celle qui était applicable au moment où l</w:t>
      </w:r>
      <w:r w:rsidR="00B42F86">
        <w:rPr>
          <w:lang w:val="fr-FR"/>
        </w:rPr>
        <w:t>’</w:t>
      </w:r>
      <w:r w:rsidRPr="00C01637">
        <w:rPr>
          <w:lang w:val="fr-FR"/>
        </w:rPr>
        <w:t>infraction a été commise.</w:t>
      </w:r>
    </w:p>
    <w:p w:rsidR="00786D0F" w:rsidRPr="00C01637" w:rsidRDefault="00786D0F" w:rsidP="00786D0F">
      <w:pPr>
        <w:pStyle w:val="ECHRParaQuote"/>
        <w:rPr>
          <w:lang w:val="fr-FR"/>
        </w:rPr>
      </w:pPr>
      <w:r w:rsidRPr="00C01637">
        <w:rPr>
          <w:lang w:val="fr-FR"/>
        </w:rPr>
        <w:t>2.  Le présent article ne portera pas atteinte au jugement et à la punition d</w:t>
      </w:r>
      <w:r w:rsidR="00B42F86">
        <w:rPr>
          <w:lang w:val="fr-FR"/>
        </w:rPr>
        <w:t>’</w:t>
      </w:r>
      <w:r w:rsidRPr="00C01637">
        <w:rPr>
          <w:lang w:val="fr-FR"/>
        </w:rPr>
        <w:t>une personne coupable d</w:t>
      </w:r>
      <w:r w:rsidR="00B42F86">
        <w:rPr>
          <w:lang w:val="fr-FR"/>
        </w:rPr>
        <w:t>’</w:t>
      </w:r>
      <w:r w:rsidRPr="00C01637">
        <w:rPr>
          <w:lang w:val="fr-FR"/>
        </w:rPr>
        <w:t>une action ou d</w:t>
      </w:r>
      <w:r w:rsidR="00B42F86">
        <w:rPr>
          <w:lang w:val="fr-FR"/>
        </w:rPr>
        <w:t>’</w:t>
      </w:r>
      <w:r w:rsidRPr="00C01637">
        <w:rPr>
          <w:lang w:val="fr-FR"/>
        </w:rPr>
        <w:t>une omission qui, au moment où elle a été commise, était criminelle d</w:t>
      </w:r>
      <w:r w:rsidR="00B42F86">
        <w:rPr>
          <w:lang w:val="fr-FR"/>
        </w:rPr>
        <w:t>’</w:t>
      </w:r>
      <w:r w:rsidRPr="00C01637">
        <w:rPr>
          <w:lang w:val="fr-FR"/>
        </w:rPr>
        <w:t>après les principes généraux de droit reconnus par les nations civilisées. »</w:t>
      </w:r>
    </w:p>
    <w:p w:rsidR="00786D0F" w:rsidRPr="00C01637" w:rsidRDefault="00786D0F" w:rsidP="00786D0F">
      <w:pPr>
        <w:pStyle w:val="ECHRPara"/>
        <w:rPr>
          <w:lang w:val="fr-FR"/>
        </w:rPr>
      </w:pPr>
      <w:r>
        <w:rPr>
          <w:lang w:val="fr-FR"/>
        </w:rPr>
        <w:t>68</w:t>
      </w:r>
      <w:r w:rsidRPr="00C01637">
        <w:rPr>
          <w:lang w:val="fr-FR"/>
        </w:rPr>
        <w:t>.  La Cour constate d</w:t>
      </w:r>
      <w:r w:rsidR="00B42F86">
        <w:rPr>
          <w:lang w:val="fr-FR"/>
        </w:rPr>
        <w:t>’</w:t>
      </w:r>
      <w:r w:rsidRPr="00C01637">
        <w:rPr>
          <w:lang w:val="fr-FR"/>
        </w:rPr>
        <w:t>emblée que les dispositions de cet article ne sont pas applicables en l</w:t>
      </w:r>
      <w:r w:rsidR="00B42F86">
        <w:rPr>
          <w:lang w:val="fr-FR"/>
        </w:rPr>
        <w:t>’</w:t>
      </w:r>
      <w:r w:rsidRPr="00C01637">
        <w:rPr>
          <w:lang w:val="fr-FR"/>
        </w:rPr>
        <w:t xml:space="preserve">espèce puisque le litige en cause ne relève aucunement de la matière pénale (voir, </w:t>
      </w:r>
      <w:r w:rsidRPr="00C01637">
        <w:rPr>
          <w:i/>
          <w:lang w:val="fr-FR"/>
        </w:rPr>
        <w:t>mutatis mutandis</w:t>
      </w:r>
      <w:r w:rsidRPr="00C01637">
        <w:rPr>
          <w:lang w:val="fr-FR"/>
        </w:rPr>
        <w:t xml:space="preserve">, </w:t>
      </w:r>
      <w:r w:rsidRPr="00C01637">
        <w:rPr>
          <w:i/>
          <w:lang w:val="fr-FR"/>
        </w:rPr>
        <w:t>Di Giovanni</w:t>
      </w:r>
      <w:r w:rsidRPr="00C01637">
        <w:rPr>
          <w:lang w:val="fr-FR"/>
        </w:rPr>
        <w:t>, précité, § 89).</w:t>
      </w:r>
    </w:p>
    <w:p w:rsidR="00786D0F" w:rsidRPr="00C01637" w:rsidRDefault="00786D0F" w:rsidP="00786D0F">
      <w:pPr>
        <w:pStyle w:val="ECHRPara"/>
        <w:rPr>
          <w:lang w:val="fr-FR"/>
        </w:rPr>
      </w:pPr>
      <w:r>
        <w:rPr>
          <w:lang w:val="fr-FR"/>
        </w:rPr>
        <w:t>69</w:t>
      </w:r>
      <w:r w:rsidRPr="00C01637">
        <w:rPr>
          <w:lang w:val="fr-FR"/>
        </w:rPr>
        <w:t>.  Il s</w:t>
      </w:r>
      <w:r w:rsidR="00B42F86">
        <w:rPr>
          <w:lang w:val="fr-FR"/>
        </w:rPr>
        <w:t>’</w:t>
      </w:r>
      <w:r w:rsidRPr="00C01637">
        <w:rPr>
          <w:lang w:val="fr-FR"/>
        </w:rPr>
        <w:t xml:space="preserve">ensuit que ce grief est incompatible </w:t>
      </w:r>
      <w:r w:rsidRPr="00C01637">
        <w:rPr>
          <w:i/>
          <w:lang w:val="fr-FR"/>
        </w:rPr>
        <w:t>ratione materiae</w:t>
      </w:r>
      <w:r w:rsidRPr="00C01637">
        <w:rPr>
          <w:lang w:val="fr-FR"/>
        </w:rPr>
        <w:t xml:space="preserve"> avec les dispositions de la Convention au sens de l</w:t>
      </w:r>
      <w:r w:rsidR="00B42F86">
        <w:rPr>
          <w:lang w:val="fr-FR"/>
        </w:rPr>
        <w:t>’</w:t>
      </w:r>
      <w:r w:rsidR="00AD5A90">
        <w:rPr>
          <w:lang w:val="fr-FR"/>
        </w:rPr>
        <w:t xml:space="preserve">article 35 § 3 </w:t>
      </w:r>
      <w:r w:rsidRPr="00C01637">
        <w:rPr>
          <w:lang w:val="fr-FR"/>
        </w:rPr>
        <w:t>a) et doit être rejeté en application de l</w:t>
      </w:r>
      <w:r w:rsidR="00B42F86">
        <w:rPr>
          <w:lang w:val="fr-FR"/>
        </w:rPr>
        <w:t>’</w:t>
      </w:r>
      <w:r w:rsidRPr="00C01637">
        <w:rPr>
          <w:lang w:val="fr-FR"/>
        </w:rPr>
        <w:t>article</w:t>
      </w:r>
      <w:r w:rsidR="00AD5A90">
        <w:rPr>
          <w:lang w:val="fr-FR"/>
        </w:rPr>
        <w:t xml:space="preserve"> </w:t>
      </w:r>
      <w:r w:rsidRPr="00C01637">
        <w:rPr>
          <w:lang w:val="fr-FR"/>
        </w:rPr>
        <w:t>35</w:t>
      </w:r>
      <w:r w:rsidR="00AD5A90">
        <w:rPr>
          <w:lang w:val="fr-FR"/>
        </w:rPr>
        <w:t xml:space="preserve"> </w:t>
      </w:r>
      <w:r w:rsidRPr="00C01637">
        <w:rPr>
          <w:lang w:val="fr-FR"/>
        </w:rPr>
        <w:t>§</w:t>
      </w:r>
      <w:r w:rsidR="00AD5A90">
        <w:rPr>
          <w:lang w:val="fr-FR"/>
        </w:rPr>
        <w:t xml:space="preserve"> </w:t>
      </w:r>
      <w:r w:rsidRPr="00C01637">
        <w:rPr>
          <w:lang w:val="fr-FR"/>
        </w:rPr>
        <w:t>4.</w:t>
      </w:r>
    </w:p>
    <w:p w:rsidR="00786D0F" w:rsidRPr="00C01637" w:rsidRDefault="00786D0F" w:rsidP="00786D0F">
      <w:pPr>
        <w:pStyle w:val="ECHRHeading2"/>
        <w:rPr>
          <w:lang w:val="fr-FR"/>
        </w:rPr>
      </w:pPr>
      <w:r w:rsidRPr="00C01637">
        <w:rPr>
          <w:lang w:val="fr-FR"/>
        </w:rPr>
        <w:lastRenderedPageBreak/>
        <w:t>D.  Grief tiré de l</w:t>
      </w:r>
      <w:r w:rsidR="00B42F86">
        <w:rPr>
          <w:lang w:val="fr-FR"/>
        </w:rPr>
        <w:t>’</w:t>
      </w:r>
      <w:r w:rsidRPr="00C01637">
        <w:rPr>
          <w:lang w:val="fr-FR"/>
        </w:rPr>
        <w:t>article 8 de la Convention</w:t>
      </w:r>
    </w:p>
    <w:p w:rsidR="00786D0F" w:rsidRPr="00C01637" w:rsidRDefault="00786D0F" w:rsidP="00786D0F">
      <w:pPr>
        <w:pStyle w:val="ECHRPara"/>
        <w:rPr>
          <w:lang w:val="fr-FR"/>
        </w:rPr>
      </w:pPr>
      <w:r>
        <w:rPr>
          <w:lang w:val="fr-FR"/>
        </w:rPr>
        <w:t>70</w:t>
      </w:r>
      <w:r w:rsidRPr="00C01637">
        <w:rPr>
          <w:lang w:val="fr-FR"/>
        </w:rPr>
        <w:t>.  Le requérant observe que l</w:t>
      </w:r>
      <w:r w:rsidR="00B42F86">
        <w:rPr>
          <w:lang w:val="fr-FR"/>
        </w:rPr>
        <w:t>’</w:t>
      </w:r>
      <w:r w:rsidRPr="00C01637">
        <w:rPr>
          <w:lang w:val="fr-FR"/>
        </w:rPr>
        <w:t>université de Naples et ses professeurs ont divulgué ses courriels privés. Ceci aurait violé son droit au respect de sa correspondance, tel que garanti par l</w:t>
      </w:r>
      <w:r w:rsidR="00B42F86">
        <w:rPr>
          <w:lang w:val="fr-FR"/>
        </w:rPr>
        <w:t>’</w:t>
      </w:r>
      <w:r w:rsidRPr="00C01637">
        <w:rPr>
          <w:lang w:val="fr-FR"/>
        </w:rPr>
        <w:t>article 8 de la Convention.</w:t>
      </w:r>
    </w:p>
    <w:p w:rsidR="00786D0F" w:rsidRPr="00C01637" w:rsidRDefault="00786D0F" w:rsidP="00786D0F">
      <w:pPr>
        <w:pStyle w:val="ECHRPara"/>
        <w:rPr>
          <w:lang w:val="fr-FR"/>
        </w:rPr>
      </w:pPr>
      <w:r w:rsidRPr="00C01637">
        <w:rPr>
          <w:lang w:val="fr-FR"/>
        </w:rPr>
        <w:t>Cette disposition se lit ainsi :</w:t>
      </w:r>
    </w:p>
    <w:p w:rsidR="00786D0F" w:rsidRPr="00C01637" w:rsidRDefault="00786D0F" w:rsidP="00786D0F">
      <w:pPr>
        <w:pStyle w:val="ECHRParaQuote"/>
        <w:rPr>
          <w:lang w:val="fr-FR"/>
        </w:rPr>
      </w:pPr>
      <w:r w:rsidRPr="00C01637">
        <w:rPr>
          <w:lang w:val="fr-FR"/>
        </w:rPr>
        <w:t>« 1.  Toute personne a droit au respect de sa vie privée et familiale, de son domicile et de sa correspondance.</w:t>
      </w:r>
    </w:p>
    <w:p w:rsidR="00786D0F" w:rsidRPr="00C01637" w:rsidRDefault="00786D0F" w:rsidP="00786D0F">
      <w:pPr>
        <w:pStyle w:val="ECHRParaQuote"/>
        <w:rPr>
          <w:lang w:val="fr-FR"/>
        </w:rPr>
      </w:pPr>
      <w:r w:rsidRPr="00C01637">
        <w:rPr>
          <w:lang w:val="fr-FR"/>
        </w:rPr>
        <w:t>2.  Il ne peut y avoir ingérence d</w:t>
      </w:r>
      <w:r w:rsidR="00B42F86">
        <w:rPr>
          <w:lang w:val="fr-FR"/>
        </w:rPr>
        <w:t>’</w:t>
      </w:r>
      <w:r w:rsidRPr="00C01637">
        <w:rPr>
          <w:lang w:val="fr-FR"/>
        </w:rPr>
        <w:t>une autorité publique dans l</w:t>
      </w:r>
      <w:r w:rsidR="00B42F86">
        <w:rPr>
          <w:lang w:val="fr-FR"/>
        </w:rPr>
        <w:t>’</w:t>
      </w:r>
      <w:r w:rsidRPr="00C01637">
        <w:rPr>
          <w:lang w:val="fr-FR"/>
        </w:rPr>
        <w:t>exercice de ce droit que pour autant que cette ingérence est prévue par la loi et qu</w:t>
      </w:r>
      <w:r w:rsidR="00B42F86">
        <w:rPr>
          <w:lang w:val="fr-FR"/>
        </w:rPr>
        <w:t>’</w:t>
      </w:r>
      <w:r w:rsidRPr="00C01637">
        <w:rPr>
          <w:lang w:val="fr-FR"/>
        </w:rPr>
        <w:t>elle constitue une mesure qui, dans une société démocratique, est nécessaire à la sécurité nationale, à la sûreté publique, au bien</w:t>
      </w:r>
      <w:r w:rsidRPr="00C01637">
        <w:rPr>
          <w:lang w:val="fr-FR"/>
        </w:rPr>
        <w:noBreakHyphen/>
        <w:t>être économique du pays, à la défense de l</w:t>
      </w:r>
      <w:r w:rsidR="00B42F86">
        <w:rPr>
          <w:lang w:val="fr-FR"/>
        </w:rPr>
        <w:t>’</w:t>
      </w:r>
      <w:r w:rsidRPr="00C01637">
        <w:rPr>
          <w:lang w:val="fr-FR"/>
        </w:rPr>
        <w:t>ordre et à la prévention des infractions pénales, à la protection de la santé ou de la morale, ou à la protection des droits et libertés d</w:t>
      </w:r>
      <w:r w:rsidR="00B42F86">
        <w:rPr>
          <w:lang w:val="fr-FR"/>
        </w:rPr>
        <w:t>’</w:t>
      </w:r>
      <w:r w:rsidRPr="00C01637">
        <w:rPr>
          <w:lang w:val="fr-FR"/>
        </w:rPr>
        <w:t>autrui. »</w:t>
      </w:r>
    </w:p>
    <w:p w:rsidR="00786D0F" w:rsidRDefault="00786D0F" w:rsidP="00786D0F">
      <w:pPr>
        <w:pStyle w:val="ECHRPara"/>
        <w:rPr>
          <w:lang w:val="fr-FR"/>
        </w:rPr>
      </w:pPr>
      <w:r>
        <w:rPr>
          <w:lang w:val="fr-FR"/>
        </w:rPr>
        <w:t>71</w:t>
      </w:r>
      <w:r w:rsidRPr="00C01637">
        <w:rPr>
          <w:lang w:val="fr-FR"/>
        </w:rPr>
        <w:t>.  La Cour observe d</w:t>
      </w:r>
      <w:r w:rsidR="00B42F86">
        <w:rPr>
          <w:lang w:val="fr-FR"/>
        </w:rPr>
        <w:t>’</w:t>
      </w:r>
      <w:r w:rsidRPr="00C01637">
        <w:rPr>
          <w:lang w:val="fr-FR"/>
        </w:rPr>
        <w:t xml:space="preserve">emblée </w:t>
      </w:r>
      <w:r>
        <w:rPr>
          <w:lang w:val="fr-FR"/>
        </w:rPr>
        <w:t>qu</w:t>
      </w:r>
      <w:r w:rsidR="00B42F86">
        <w:rPr>
          <w:lang w:val="fr-FR"/>
        </w:rPr>
        <w:t>’</w:t>
      </w:r>
      <w:r>
        <w:rPr>
          <w:lang w:val="fr-FR"/>
        </w:rPr>
        <w:t>il ne ressort pas des documents produits devant elle que le requérant ait clairement et explicitement soulevé ses doléances tirées de l</w:t>
      </w:r>
      <w:r w:rsidR="00B42F86">
        <w:rPr>
          <w:lang w:val="fr-FR"/>
        </w:rPr>
        <w:t>’</w:t>
      </w:r>
      <w:r>
        <w:rPr>
          <w:lang w:val="fr-FR"/>
        </w:rPr>
        <w:t>article 8 de la Convention devant les juridictions nationales. Cependant, dans les circonstances particulières de l</w:t>
      </w:r>
      <w:r w:rsidR="00B42F86">
        <w:rPr>
          <w:lang w:val="fr-FR"/>
        </w:rPr>
        <w:t>’</w:t>
      </w:r>
      <w:r>
        <w:rPr>
          <w:lang w:val="fr-FR"/>
        </w:rPr>
        <w:t>espèce, elle n</w:t>
      </w:r>
      <w:r w:rsidR="00B42F86">
        <w:rPr>
          <w:lang w:val="fr-FR"/>
        </w:rPr>
        <w:t>’</w:t>
      </w:r>
      <w:r>
        <w:rPr>
          <w:lang w:val="fr-FR"/>
        </w:rPr>
        <w:t>estime pas nécessaire de se pencher sur le point de savoir si l</w:t>
      </w:r>
      <w:r w:rsidR="00B42F86">
        <w:rPr>
          <w:lang w:val="fr-FR"/>
        </w:rPr>
        <w:t>’</w:t>
      </w:r>
      <w:r>
        <w:rPr>
          <w:lang w:val="fr-FR"/>
        </w:rPr>
        <w:t>intéressé a épuisé les voies de recours qui lui étaient ouvertes en droit italien, ce grief état de toute manière irrecevable pour les raisons suivantes.</w:t>
      </w:r>
    </w:p>
    <w:p w:rsidR="00786D0F" w:rsidRPr="00C01637" w:rsidRDefault="00786D0F" w:rsidP="00786D0F">
      <w:pPr>
        <w:pStyle w:val="ECHRPara"/>
        <w:rPr>
          <w:lang w:val="fr-FR"/>
        </w:rPr>
      </w:pPr>
      <w:r>
        <w:rPr>
          <w:lang w:val="fr-FR"/>
        </w:rPr>
        <w:t>72.  </w:t>
      </w:r>
      <w:r w:rsidRPr="00C01637">
        <w:rPr>
          <w:lang w:val="fr-FR"/>
        </w:rPr>
        <w:t>La Cour note qu</w:t>
      </w:r>
      <w:r w:rsidR="00B42F86">
        <w:rPr>
          <w:lang w:val="fr-FR"/>
        </w:rPr>
        <w:t>’</w:t>
      </w:r>
      <w:r w:rsidRPr="00C01637">
        <w:rPr>
          <w:lang w:val="fr-FR"/>
        </w:rPr>
        <w:t>elle ne saurait souscrire à la thèse du requérant selon laquelle les communications en question étaient de nature strictement privée ; en effet, l</w:t>
      </w:r>
      <w:r w:rsidR="00B42F86">
        <w:rPr>
          <w:lang w:val="fr-FR"/>
        </w:rPr>
        <w:t>’</w:t>
      </w:r>
      <w:r w:rsidRPr="00C01637">
        <w:rPr>
          <w:lang w:val="fr-FR"/>
        </w:rPr>
        <w:t>intéressé, agissant en sa qualité d</w:t>
      </w:r>
      <w:r w:rsidR="00B42F86">
        <w:rPr>
          <w:lang w:val="fr-FR"/>
        </w:rPr>
        <w:t>’</w:t>
      </w:r>
      <w:r w:rsidRPr="00C01637">
        <w:rPr>
          <w:lang w:val="fr-FR"/>
        </w:rPr>
        <w:t>étudiant, a adressé des courriels à la rectrice de la faculté de psychologie en relation à ce qu</w:t>
      </w:r>
      <w:r w:rsidR="00B42F86">
        <w:rPr>
          <w:lang w:val="fr-FR"/>
        </w:rPr>
        <w:t>’</w:t>
      </w:r>
      <w:r w:rsidRPr="00C01637">
        <w:rPr>
          <w:lang w:val="fr-FR"/>
        </w:rPr>
        <w:t>il considérait un dysfonctionnement de l</w:t>
      </w:r>
      <w:r w:rsidR="00B42F86">
        <w:rPr>
          <w:lang w:val="fr-FR"/>
        </w:rPr>
        <w:t>’</w:t>
      </w:r>
      <w:r w:rsidRPr="00C01637">
        <w:rPr>
          <w:lang w:val="fr-FR"/>
        </w:rPr>
        <w:t>administration universitaire (à savoir, le rejet de sa demande de fixation d</w:t>
      </w:r>
      <w:r w:rsidR="00B42F86">
        <w:rPr>
          <w:lang w:val="fr-FR"/>
        </w:rPr>
        <w:t>’</w:t>
      </w:r>
      <w:r w:rsidRPr="00C01637">
        <w:rPr>
          <w:lang w:val="fr-FR"/>
        </w:rPr>
        <w:t>une session extraordinaire). De plus, le requérant n</w:t>
      </w:r>
      <w:r w:rsidR="00B42F86">
        <w:rPr>
          <w:lang w:val="fr-FR"/>
        </w:rPr>
        <w:t>’</w:t>
      </w:r>
      <w:r w:rsidRPr="00C01637">
        <w:rPr>
          <w:lang w:val="fr-FR"/>
        </w:rPr>
        <w:t>a pas allégué devant la Cour que ses courriels contenaient une clause de confidentialité ou qu</w:t>
      </w:r>
      <w:r w:rsidR="00B42F86">
        <w:rPr>
          <w:lang w:val="fr-FR"/>
        </w:rPr>
        <w:t>’</w:t>
      </w:r>
      <w:r w:rsidRPr="00C01637">
        <w:rPr>
          <w:lang w:val="fr-FR"/>
        </w:rPr>
        <w:t>il avait été spécifié qu</w:t>
      </w:r>
      <w:r w:rsidR="00B42F86">
        <w:rPr>
          <w:lang w:val="fr-FR"/>
        </w:rPr>
        <w:t>’</w:t>
      </w:r>
      <w:r w:rsidRPr="00C01637">
        <w:rPr>
          <w:lang w:val="fr-FR"/>
        </w:rPr>
        <w:t>il s</w:t>
      </w:r>
      <w:r w:rsidR="00B42F86">
        <w:rPr>
          <w:lang w:val="fr-FR"/>
        </w:rPr>
        <w:t>’</w:t>
      </w:r>
      <w:r w:rsidRPr="00C01637">
        <w:rPr>
          <w:lang w:val="fr-FR"/>
        </w:rPr>
        <w:t>agissait de communications ne devant pas être divulguées sans son accord préalable. Il n</w:t>
      </w:r>
      <w:r w:rsidR="00B42F86">
        <w:rPr>
          <w:lang w:val="fr-FR"/>
        </w:rPr>
        <w:t>’</w:t>
      </w:r>
      <w:r w:rsidRPr="00C01637">
        <w:rPr>
          <w:lang w:val="fr-FR"/>
        </w:rPr>
        <w:t>a pas non plus indiqué une quelconque disposition interne qui aurait empêché la divulgation litigieuse. Par ailleurs, il convient de rappeler que la Co</w:t>
      </w:r>
      <w:r>
        <w:rPr>
          <w:lang w:val="fr-FR"/>
        </w:rPr>
        <w:t>ur</w:t>
      </w:r>
      <w:r w:rsidRPr="00C01637">
        <w:rPr>
          <w:lang w:val="fr-FR"/>
        </w:rPr>
        <w:t xml:space="preserve"> a eu l</w:t>
      </w:r>
      <w:r w:rsidR="00B42F86">
        <w:rPr>
          <w:lang w:val="fr-FR"/>
        </w:rPr>
        <w:t>’</w:t>
      </w:r>
      <w:r w:rsidRPr="00C01637">
        <w:rPr>
          <w:lang w:val="fr-FR"/>
        </w:rPr>
        <w:t xml:space="preserve">opportunité de préciser que </w:t>
      </w:r>
      <w:r w:rsidRPr="00C01637">
        <w:rPr>
          <w:rFonts w:ascii="Times New Roman" w:eastAsiaTheme="minorHAnsi" w:hAnsi="Times New Roman" w:cs="Times New Roman"/>
          <w:lang w:val="fr-FR"/>
        </w:rPr>
        <w:t>le droit au respect de la correspondance ne s</w:t>
      </w:r>
      <w:r w:rsidR="00B42F86">
        <w:rPr>
          <w:rFonts w:ascii="Times New Roman" w:eastAsiaTheme="minorHAnsi" w:hAnsi="Times New Roman" w:cs="Times New Roman"/>
          <w:lang w:val="fr-FR"/>
        </w:rPr>
        <w:t>’</w:t>
      </w:r>
      <w:r w:rsidRPr="00C01637">
        <w:rPr>
          <w:rFonts w:ascii="Times New Roman" w:eastAsiaTheme="minorHAnsi" w:hAnsi="Times New Roman" w:cs="Times New Roman"/>
          <w:lang w:val="fr-FR"/>
        </w:rPr>
        <w:t xml:space="preserve">applique pas à des documents déjà parvenus à leur destinataire </w:t>
      </w:r>
      <w:r w:rsidRPr="00C01637">
        <w:rPr>
          <w:lang w:val="fr-FR"/>
        </w:rPr>
        <w:t>(</w:t>
      </w:r>
      <w:r>
        <w:rPr>
          <w:i/>
          <w:lang w:val="fr-FR"/>
        </w:rPr>
        <w:t xml:space="preserve">L. et H. c. Finlande </w:t>
      </w:r>
      <w:r>
        <w:rPr>
          <w:lang w:val="fr-FR"/>
        </w:rPr>
        <w:t>(déc.), n</w:t>
      </w:r>
      <w:r w:rsidR="0092451F" w:rsidRPr="0092451F">
        <w:rPr>
          <w:vertAlign w:val="superscript"/>
          <w:lang w:val="fr-FR"/>
        </w:rPr>
        <w:t>o</w:t>
      </w:r>
      <w:r>
        <w:rPr>
          <w:lang w:val="fr-FR"/>
        </w:rPr>
        <w:t xml:space="preserve"> 25657/94, 8 juin 1999, et </w:t>
      </w:r>
      <w:r>
        <w:rPr>
          <w:i/>
          <w:lang w:val="fr-FR"/>
        </w:rPr>
        <w:t xml:space="preserve">Ostrovar c. Moldova </w:t>
      </w:r>
      <w:r>
        <w:rPr>
          <w:lang w:val="fr-FR"/>
        </w:rPr>
        <w:t>(déc.), n</w:t>
      </w:r>
      <w:r w:rsidR="0092451F" w:rsidRPr="0092451F">
        <w:rPr>
          <w:vertAlign w:val="superscript"/>
          <w:lang w:val="fr-FR"/>
        </w:rPr>
        <w:t>o</w:t>
      </w:r>
      <w:r>
        <w:rPr>
          <w:lang w:val="fr-FR"/>
        </w:rPr>
        <w:t xml:space="preserve"> 35207/03, 22 mars 2005 ; voir également </w:t>
      </w:r>
      <w:r w:rsidRPr="00C01637">
        <w:rPr>
          <w:i/>
          <w:lang w:val="fr-FR"/>
        </w:rPr>
        <w:t>G., S. et M. c.</w:t>
      </w:r>
      <w:r w:rsidR="00AD5A90">
        <w:rPr>
          <w:i/>
          <w:lang w:val="fr-FR"/>
        </w:rPr>
        <w:t xml:space="preserve"> </w:t>
      </w:r>
      <w:r w:rsidRPr="00C01637">
        <w:rPr>
          <w:i/>
          <w:lang w:val="fr-FR"/>
        </w:rPr>
        <w:t>Autriche</w:t>
      </w:r>
      <w:r w:rsidRPr="00C01637">
        <w:rPr>
          <w:lang w:val="fr-FR"/>
        </w:rPr>
        <w:t>, n</w:t>
      </w:r>
      <w:r w:rsidRPr="00C01637">
        <w:rPr>
          <w:vertAlign w:val="superscript"/>
          <w:lang w:val="fr-FR"/>
        </w:rPr>
        <w:t>o</w:t>
      </w:r>
      <w:r w:rsidRPr="00C01637">
        <w:rPr>
          <w:lang w:val="fr-FR"/>
        </w:rPr>
        <w:t xml:space="preserve"> </w:t>
      </w:r>
      <w:r w:rsidRPr="00C01637">
        <w:rPr>
          <w:rFonts w:ascii="Times New Roman" w:eastAsiaTheme="minorHAnsi" w:hAnsi="Times New Roman" w:cs="Times New Roman"/>
          <w:lang w:val="fr-FR"/>
        </w:rPr>
        <w:t>9614/81</w:t>
      </w:r>
      <w:r w:rsidRPr="00C01637">
        <w:rPr>
          <w:lang w:val="fr-FR"/>
        </w:rPr>
        <w:t>, décision de la Commission du 12 octobre 1983, Décisions et rapports (DR)</w:t>
      </w:r>
      <w:r w:rsidR="00AD5A90">
        <w:rPr>
          <w:lang w:val="fr-FR"/>
        </w:rPr>
        <w:t xml:space="preserve"> </w:t>
      </w:r>
      <w:r w:rsidRPr="00C01637">
        <w:rPr>
          <w:lang w:val="fr-FR"/>
        </w:rPr>
        <w:t xml:space="preserve">34, p. 119, et </w:t>
      </w:r>
      <w:r w:rsidRPr="00C01637">
        <w:rPr>
          <w:i/>
          <w:lang w:val="fr-FR"/>
        </w:rPr>
        <w:t>A.D. c. Pays-Bas</w:t>
      </w:r>
      <w:r w:rsidRPr="00C01637">
        <w:rPr>
          <w:lang w:val="fr-FR"/>
        </w:rPr>
        <w:t>, n</w:t>
      </w:r>
      <w:r w:rsidRPr="00C01637">
        <w:rPr>
          <w:vertAlign w:val="superscript"/>
          <w:lang w:val="fr-FR"/>
        </w:rPr>
        <w:t>o</w:t>
      </w:r>
      <w:r>
        <w:rPr>
          <w:vertAlign w:val="superscript"/>
          <w:lang w:val="fr-FR"/>
        </w:rPr>
        <w:t> </w:t>
      </w:r>
      <w:r w:rsidRPr="00C01637">
        <w:rPr>
          <w:lang w:val="fr-FR"/>
        </w:rPr>
        <w:t>21962/93, décision de la Commission du 11 janvier 1994, DR 76-B, p.</w:t>
      </w:r>
      <w:r>
        <w:rPr>
          <w:lang w:val="fr-FR"/>
        </w:rPr>
        <w:t> </w:t>
      </w:r>
      <w:r w:rsidRPr="00C01637">
        <w:rPr>
          <w:lang w:val="fr-FR"/>
        </w:rPr>
        <w:t>157</w:t>
      </w:r>
      <w:r w:rsidRPr="00C01637">
        <w:rPr>
          <w:rFonts w:ascii="Times New Roman" w:eastAsiaTheme="minorHAnsi" w:hAnsi="Times New Roman" w:cs="Times New Roman"/>
          <w:lang w:val="fr-FR"/>
        </w:rPr>
        <w:t>)</w:t>
      </w:r>
      <w:r w:rsidRPr="00C01637">
        <w:rPr>
          <w:lang w:val="fr-FR"/>
        </w:rPr>
        <w:t>.</w:t>
      </w:r>
    </w:p>
    <w:p w:rsidR="00786D0F" w:rsidRPr="00C01637" w:rsidRDefault="00786D0F" w:rsidP="00786D0F">
      <w:pPr>
        <w:pStyle w:val="ECHRPara"/>
        <w:rPr>
          <w:lang w:val="fr-FR"/>
        </w:rPr>
      </w:pPr>
      <w:r>
        <w:rPr>
          <w:lang w:val="fr-FR"/>
        </w:rPr>
        <w:t>73</w:t>
      </w:r>
      <w:r w:rsidRPr="00C01637">
        <w:rPr>
          <w:lang w:val="fr-FR"/>
        </w:rPr>
        <w:t>.  Dans ces circonstances, la Cour considère que la divulgation des courriels du requérant ne saurait déceler aucune apparence de violation de l</w:t>
      </w:r>
      <w:r w:rsidR="00B42F86">
        <w:rPr>
          <w:lang w:val="fr-FR"/>
        </w:rPr>
        <w:t>’</w:t>
      </w:r>
      <w:r w:rsidRPr="00C01637">
        <w:rPr>
          <w:lang w:val="fr-FR"/>
        </w:rPr>
        <w:t>article 8 de la Convention.</w:t>
      </w:r>
    </w:p>
    <w:p w:rsidR="00786D0F" w:rsidRPr="00C01637" w:rsidRDefault="00786D0F" w:rsidP="00786D0F">
      <w:pPr>
        <w:pStyle w:val="ECHRPara"/>
        <w:rPr>
          <w:lang w:val="fr-FR"/>
        </w:rPr>
      </w:pPr>
      <w:r>
        <w:rPr>
          <w:lang w:val="fr-FR"/>
        </w:rPr>
        <w:lastRenderedPageBreak/>
        <w:t>74</w:t>
      </w:r>
      <w:r w:rsidRPr="00C01637">
        <w:rPr>
          <w:lang w:val="fr-FR"/>
        </w:rPr>
        <w:t>.  </w:t>
      </w:r>
      <w:r w:rsidRPr="00C01637">
        <w:rPr>
          <w:snapToGrid w:val="0"/>
          <w:lang w:val="fr-FR"/>
        </w:rPr>
        <w:t>Il s</w:t>
      </w:r>
      <w:r w:rsidR="00B42F86">
        <w:rPr>
          <w:snapToGrid w:val="0"/>
          <w:lang w:val="fr-FR"/>
        </w:rPr>
        <w:t>’</w:t>
      </w:r>
      <w:r w:rsidRPr="00C01637">
        <w:rPr>
          <w:snapToGrid w:val="0"/>
          <w:lang w:val="fr-FR"/>
        </w:rPr>
        <w:t>ensuit que ce grief est manifestement mal fondé et doit être rejeté en application de l</w:t>
      </w:r>
      <w:r w:rsidR="00B42F86">
        <w:rPr>
          <w:snapToGrid w:val="0"/>
          <w:lang w:val="fr-FR"/>
        </w:rPr>
        <w:t>’</w:t>
      </w:r>
      <w:r w:rsidRPr="00C01637">
        <w:rPr>
          <w:snapToGrid w:val="0"/>
          <w:lang w:val="fr-FR"/>
        </w:rPr>
        <w:t>article 35 §§ 3</w:t>
      </w:r>
      <w:r w:rsidR="00AD5A90">
        <w:rPr>
          <w:snapToGrid w:val="0"/>
          <w:lang w:val="fr-FR"/>
        </w:rPr>
        <w:t xml:space="preserve"> </w:t>
      </w:r>
      <w:r w:rsidRPr="00C01637">
        <w:rPr>
          <w:lang w:val="fr-FR"/>
        </w:rPr>
        <w:t xml:space="preserve">a) </w:t>
      </w:r>
      <w:r w:rsidRPr="00C01637">
        <w:rPr>
          <w:snapToGrid w:val="0"/>
          <w:lang w:val="fr-FR"/>
        </w:rPr>
        <w:t>et 4 de la Convention.</w:t>
      </w:r>
    </w:p>
    <w:p w:rsidR="00786D0F" w:rsidRPr="00C01637" w:rsidRDefault="00786D0F" w:rsidP="00786D0F">
      <w:pPr>
        <w:pStyle w:val="ECHRHeading2"/>
        <w:rPr>
          <w:lang w:val="fr-FR"/>
        </w:rPr>
      </w:pPr>
      <w:r w:rsidRPr="00C01637">
        <w:rPr>
          <w:lang w:val="fr-FR"/>
        </w:rPr>
        <w:t>E.  Grief tiré de l</w:t>
      </w:r>
      <w:r w:rsidR="00B42F86">
        <w:rPr>
          <w:lang w:val="fr-FR"/>
        </w:rPr>
        <w:t>’</w:t>
      </w:r>
      <w:r w:rsidRPr="00C01637">
        <w:rPr>
          <w:lang w:val="fr-FR"/>
        </w:rPr>
        <w:t>article 10 de la Convention</w:t>
      </w:r>
    </w:p>
    <w:p w:rsidR="00786D0F" w:rsidRPr="00C01637" w:rsidRDefault="00786D0F" w:rsidP="00786D0F">
      <w:pPr>
        <w:pStyle w:val="ECHRPara"/>
        <w:rPr>
          <w:lang w:val="fr-FR"/>
        </w:rPr>
      </w:pPr>
      <w:r>
        <w:rPr>
          <w:lang w:val="fr-FR"/>
        </w:rPr>
        <w:t>75</w:t>
      </w:r>
      <w:r w:rsidRPr="00C01637">
        <w:rPr>
          <w:lang w:val="fr-FR"/>
        </w:rPr>
        <w:t>.  Le requérant considère que la sanction disciplinaire qui lui a été infligée a violé son droit à la liberté d</w:t>
      </w:r>
      <w:r w:rsidR="00B42F86">
        <w:rPr>
          <w:lang w:val="fr-FR"/>
        </w:rPr>
        <w:t>’</w:t>
      </w:r>
      <w:r w:rsidRPr="00C01637">
        <w:rPr>
          <w:lang w:val="fr-FR"/>
        </w:rPr>
        <w:t>expression.</w:t>
      </w:r>
    </w:p>
    <w:p w:rsidR="00786D0F" w:rsidRPr="00C01637" w:rsidRDefault="00786D0F" w:rsidP="00786D0F">
      <w:pPr>
        <w:pStyle w:val="ECHRPara"/>
        <w:rPr>
          <w:lang w:val="fr-FR"/>
        </w:rPr>
      </w:pPr>
      <w:r w:rsidRPr="00C01637">
        <w:rPr>
          <w:lang w:val="fr-FR"/>
        </w:rPr>
        <w:t>Il invoque l</w:t>
      </w:r>
      <w:r w:rsidR="00B42F86">
        <w:rPr>
          <w:lang w:val="fr-FR"/>
        </w:rPr>
        <w:t>’</w:t>
      </w:r>
      <w:r w:rsidRPr="00C01637">
        <w:rPr>
          <w:lang w:val="fr-FR"/>
        </w:rPr>
        <w:t>article 10 de la Convention, ainsi libellé :</w:t>
      </w:r>
    </w:p>
    <w:p w:rsidR="00786D0F" w:rsidRPr="00C01637" w:rsidRDefault="00786D0F" w:rsidP="00786D0F">
      <w:pPr>
        <w:pStyle w:val="ECHRParaQuote"/>
        <w:rPr>
          <w:lang w:val="fr-FR"/>
        </w:rPr>
      </w:pPr>
      <w:r w:rsidRPr="00C01637">
        <w:rPr>
          <w:lang w:val="fr-FR"/>
        </w:rPr>
        <w:t>« 1.  Toute personne a droit à la liberté d</w:t>
      </w:r>
      <w:r w:rsidR="00B42F86">
        <w:rPr>
          <w:lang w:val="fr-FR"/>
        </w:rPr>
        <w:t>’</w:t>
      </w:r>
      <w:r w:rsidRPr="00C01637">
        <w:rPr>
          <w:lang w:val="fr-FR"/>
        </w:rPr>
        <w:t>expression. Ce droit comprend la liberté d</w:t>
      </w:r>
      <w:r w:rsidR="00B42F86">
        <w:rPr>
          <w:lang w:val="fr-FR"/>
        </w:rPr>
        <w:t>’</w:t>
      </w:r>
      <w:r w:rsidRPr="00C01637">
        <w:rPr>
          <w:lang w:val="fr-FR"/>
        </w:rPr>
        <w:t>opinion et la liberté de recevoir ou de communiquer des informations ou des idées sans qu</w:t>
      </w:r>
      <w:r w:rsidR="00B42F86">
        <w:rPr>
          <w:lang w:val="fr-FR"/>
        </w:rPr>
        <w:t>’</w:t>
      </w:r>
      <w:r w:rsidRPr="00C01637">
        <w:rPr>
          <w:lang w:val="fr-FR"/>
        </w:rPr>
        <w:t>il puisse y avoir ingérence d</w:t>
      </w:r>
      <w:r w:rsidR="00B42F86">
        <w:rPr>
          <w:lang w:val="fr-FR"/>
        </w:rPr>
        <w:t>’</w:t>
      </w:r>
      <w:r w:rsidRPr="00C01637">
        <w:rPr>
          <w:lang w:val="fr-FR"/>
        </w:rPr>
        <w:t>autorités publiques et sans considération de frontière. Le présent article n</w:t>
      </w:r>
      <w:r w:rsidR="00B42F86">
        <w:rPr>
          <w:lang w:val="fr-FR"/>
        </w:rPr>
        <w:t>’</w:t>
      </w:r>
      <w:r w:rsidRPr="00C01637">
        <w:rPr>
          <w:lang w:val="fr-FR"/>
        </w:rPr>
        <w:t>empêche pas les Etats de soumettre les entreprises de radiodiffusion, de cinéma ou de télévision à un régime d</w:t>
      </w:r>
      <w:r w:rsidR="00B42F86">
        <w:rPr>
          <w:lang w:val="fr-FR"/>
        </w:rPr>
        <w:t>’</w:t>
      </w:r>
      <w:r w:rsidRPr="00C01637">
        <w:rPr>
          <w:lang w:val="fr-FR"/>
        </w:rPr>
        <w:t>autorisations.</w:t>
      </w:r>
    </w:p>
    <w:p w:rsidR="00786D0F" w:rsidRPr="00C01637" w:rsidRDefault="00786D0F" w:rsidP="00786D0F">
      <w:pPr>
        <w:pStyle w:val="ECHRParaQuote"/>
        <w:rPr>
          <w:lang w:val="fr-FR"/>
        </w:rPr>
      </w:pPr>
      <w:r w:rsidRPr="00C01637">
        <w:rPr>
          <w:lang w:val="fr-FR"/>
        </w:rPr>
        <w:t>2.  L</w:t>
      </w:r>
      <w:r w:rsidR="00B42F86">
        <w:rPr>
          <w:lang w:val="fr-FR"/>
        </w:rPr>
        <w:t>’</w:t>
      </w:r>
      <w:r w:rsidRPr="00C01637">
        <w:rPr>
          <w:lang w:val="fr-FR"/>
        </w:rPr>
        <w:t>exercice de ces libertés comportant des devoirs et des responsabilités peut être soumis à certaines formalités, conditions, restrictions ou sanctions prévues par la loi, qui constituent des mesures nécessaires, dans une société démocratique, à la sécurité nationale, à l</w:t>
      </w:r>
      <w:r w:rsidR="00B42F86">
        <w:rPr>
          <w:lang w:val="fr-FR"/>
        </w:rPr>
        <w:t>’</w:t>
      </w:r>
      <w:r w:rsidRPr="00C01637">
        <w:rPr>
          <w:lang w:val="fr-FR"/>
        </w:rPr>
        <w:t>intégrité territoriale ou à la sûreté publique, à la défense de l</w:t>
      </w:r>
      <w:r w:rsidR="00B42F86">
        <w:rPr>
          <w:lang w:val="fr-FR"/>
        </w:rPr>
        <w:t>’</w:t>
      </w:r>
      <w:r w:rsidRPr="00C01637">
        <w:rPr>
          <w:lang w:val="fr-FR"/>
        </w:rPr>
        <w:t>ordre et à la prévention du crime, à la protection de la santé ou de la morale, à la protection de la réputation ou des droits d</w:t>
      </w:r>
      <w:r w:rsidR="00B42F86">
        <w:rPr>
          <w:lang w:val="fr-FR"/>
        </w:rPr>
        <w:t>’</w:t>
      </w:r>
      <w:r w:rsidRPr="00C01637">
        <w:rPr>
          <w:lang w:val="fr-FR"/>
        </w:rPr>
        <w:t>autrui, pour empêcher la divulgation d</w:t>
      </w:r>
      <w:r w:rsidR="00B42F86">
        <w:rPr>
          <w:lang w:val="fr-FR"/>
        </w:rPr>
        <w:t>’</w:t>
      </w:r>
      <w:r w:rsidRPr="00C01637">
        <w:rPr>
          <w:lang w:val="fr-FR"/>
        </w:rPr>
        <w:t>informations confidentielles ou pour garantir l</w:t>
      </w:r>
      <w:r w:rsidR="00B42F86">
        <w:rPr>
          <w:lang w:val="fr-FR"/>
        </w:rPr>
        <w:t>’</w:t>
      </w:r>
      <w:r w:rsidRPr="00C01637">
        <w:rPr>
          <w:lang w:val="fr-FR"/>
        </w:rPr>
        <w:t>autorité et l</w:t>
      </w:r>
      <w:r w:rsidR="00B42F86">
        <w:rPr>
          <w:lang w:val="fr-FR"/>
        </w:rPr>
        <w:t>’</w:t>
      </w:r>
      <w:r w:rsidRPr="00C01637">
        <w:rPr>
          <w:lang w:val="fr-FR"/>
        </w:rPr>
        <w:t>impartialité du pouvoir judiciaire. »</w:t>
      </w:r>
    </w:p>
    <w:p w:rsidR="00786D0F" w:rsidRPr="00C01637" w:rsidRDefault="00786D0F" w:rsidP="00786D0F">
      <w:pPr>
        <w:pStyle w:val="ECHRPara"/>
        <w:rPr>
          <w:lang w:val="fr-FR"/>
        </w:rPr>
      </w:pPr>
      <w:r>
        <w:rPr>
          <w:lang w:val="fr-FR"/>
        </w:rPr>
        <w:t>76</w:t>
      </w:r>
      <w:r w:rsidRPr="00C01637">
        <w:rPr>
          <w:lang w:val="fr-FR"/>
        </w:rPr>
        <w:t>.  Le requérant affirme que les étudiants universitaires ont le droit de critiquer l</w:t>
      </w:r>
      <w:r w:rsidR="00B42F86">
        <w:rPr>
          <w:lang w:val="fr-FR"/>
        </w:rPr>
        <w:t>’</w:t>
      </w:r>
      <w:r w:rsidRPr="00C01637">
        <w:rPr>
          <w:lang w:val="fr-FR"/>
        </w:rPr>
        <w:t>institution à laquelle ils sont inscrits et qu</w:t>
      </w:r>
      <w:r w:rsidR="00B42F86">
        <w:rPr>
          <w:lang w:val="fr-FR"/>
        </w:rPr>
        <w:t>’</w:t>
      </w:r>
      <w:r w:rsidRPr="00C01637">
        <w:rPr>
          <w:lang w:val="fr-FR"/>
        </w:rPr>
        <w:t>ils ont l</w:t>
      </w:r>
      <w:r w:rsidR="00B42F86">
        <w:rPr>
          <w:lang w:val="fr-FR"/>
        </w:rPr>
        <w:t>’</w:t>
      </w:r>
      <w:r w:rsidRPr="00C01637">
        <w:rPr>
          <w:lang w:val="fr-FR"/>
        </w:rPr>
        <w:t>expectative légitime que celle-ci exerce ses fonctions avec efficacité et impartialité. Il ajoute que les règles administratives et législatives pertinentes n</w:t>
      </w:r>
      <w:r w:rsidR="00B42F86">
        <w:rPr>
          <w:lang w:val="fr-FR"/>
        </w:rPr>
        <w:t>’</w:t>
      </w:r>
      <w:r w:rsidRPr="00C01637">
        <w:rPr>
          <w:lang w:val="fr-FR"/>
        </w:rPr>
        <w:t>étaient pas claires, ce qui aurait permis des comportements arbitraires de la part des autorités nationales.</w:t>
      </w:r>
    </w:p>
    <w:p w:rsidR="00786D0F" w:rsidRDefault="00786D0F" w:rsidP="00786D0F">
      <w:pPr>
        <w:pStyle w:val="ECHRPara"/>
        <w:rPr>
          <w:lang w:val="fr-FR"/>
        </w:rPr>
      </w:pPr>
      <w:r>
        <w:rPr>
          <w:lang w:val="fr-FR"/>
        </w:rPr>
        <w:t>77</w:t>
      </w:r>
      <w:r w:rsidRPr="00C01637">
        <w:rPr>
          <w:lang w:val="fr-FR"/>
        </w:rPr>
        <w:t>.  La Cour observe d</w:t>
      </w:r>
      <w:r w:rsidR="00B42F86">
        <w:rPr>
          <w:lang w:val="fr-FR"/>
        </w:rPr>
        <w:t>’</w:t>
      </w:r>
      <w:r w:rsidRPr="00C01637">
        <w:rPr>
          <w:lang w:val="fr-FR"/>
        </w:rPr>
        <w:t xml:space="preserve">emblée </w:t>
      </w:r>
      <w:r>
        <w:rPr>
          <w:lang w:val="fr-FR"/>
        </w:rPr>
        <w:t>qu</w:t>
      </w:r>
      <w:r w:rsidR="00B42F86">
        <w:rPr>
          <w:lang w:val="fr-FR"/>
        </w:rPr>
        <w:t>’</w:t>
      </w:r>
      <w:r>
        <w:rPr>
          <w:lang w:val="fr-FR"/>
        </w:rPr>
        <w:t>il ne ressort pas des documents produits devant elle que le requérant ait clairement et explicitement soulevé ses doléances tirées de l</w:t>
      </w:r>
      <w:r w:rsidR="00B42F86">
        <w:rPr>
          <w:lang w:val="fr-FR"/>
        </w:rPr>
        <w:t>’</w:t>
      </w:r>
      <w:r>
        <w:rPr>
          <w:lang w:val="fr-FR"/>
        </w:rPr>
        <w:t>article 10 de la Convention devant les juridictions nationales. Cependant, dans les circonstances particulières de l</w:t>
      </w:r>
      <w:r w:rsidR="00B42F86">
        <w:rPr>
          <w:lang w:val="fr-FR"/>
        </w:rPr>
        <w:t>’</w:t>
      </w:r>
      <w:r>
        <w:rPr>
          <w:lang w:val="fr-FR"/>
        </w:rPr>
        <w:t>espèce, elle n</w:t>
      </w:r>
      <w:r w:rsidR="00B42F86">
        <w:rPr>
          <w:lang w:val="fr-FR"/>
        </w:rPr>
        <w:t>’</w:t>
      </w:r>
      <w:r>
        <w:rPr>
          <w:lang w:val="fr-FR"/>
        </w:rPr>
        <w:t>estime pas nécessaire de se pencher sur le point de savoir si l</w:t>
      </w:r>
      <w:r w:rsidR="00B42F86">
        <w:rPr>
          <w:lang w:val="fr-FR"/>
        </w:rPr>
        <w:t>’</w:t>
      </w:r>
      <w:r>
        <w:rPr>
          <w:lang w:val="fr-FR"/>
        </w:rPr>
        <w:t>intéressé a épuisé les voies de recours qui lui étaient ouvertes en droit italien, ce grief état de toute manière irrecevable pour les raisons suivantes.</w:t>
      </w:r>
    </w:p>
    <w:p w:rsidR="00786D0F" w:rsidRPr="00C01637" w:rsidRDefault="00786D0F" w:rsidP="00786D0F">
      <w:pPr>
        <w:pStyle w:val="ECHRPara"/>
        <w:rPr>
          <w:lang w:val="fr-FR"/>
        </w:rPr>
      </w:pPr>
      <w:r>
        <w:rPr>
          <w:lang w:val="fr-FR"/>
        </w:rPr>
        <w:t xml:space="preserve">78.  La Cour note </w:t>
      </w:r>
      <w:r w:rsidRPr="00C01637">
        <w:rPr>
          <w:lang w:val="fr-FR"/>
        </w:rPr>
        <w:t>que la sanction disciplinaire dont le requérant a fait l</w:t>
      </w:r>
      <w:r w:rsidR="00B42F86">
        <w:rPr>
          <w:lang w:val="fr-FR"/>
        </w:rPr>
        <w:t>’</w:t>
      </w:r>
      <w:r w:rsidRPr="00C01637">
        <w:rPr>
          <w:lang w:val="fr-FR"/>
        </w:rPr>
        <w:t>objet était « prévue par la loi », à savoir par l</w:t>
      </w:r>
      <w:r w:rsidR="00B42F86">
        <w:rPr>
          <w:lang w:val="fr-FR"/>
        </w:rPr>
        <w:t>’</w:t>
      </w:r>
      <w:r w:rsidRPr="00C01637">
        <w:rPr>
          <w:lang w:val="fr-FR"/>
        </w:rPr>
        <w:t>article 16 du décret-loi royal n</w:t>
      </w:r>
      <w:r w:rsidR="0092451F" w:rsidRPr="0092451F">
        <w:rPr>
          <w:vertAlign w:val="superscript"/>
          <w:lang w:val="fr-FR"/>
        </w:rPr>
        <w:t>o</w:t>
      </w:r>
      <w:r w:rsidRPr="00C01637">
        <w:rPr>
          <w:lang w:val="fr-FR"/>
        </w:rPr>
        <w:t xml:space="preserve"> 1071 du 20 juin 1935 (paragraphe </w:t>
      </w:r>
      <w:r>
        <w:rPr>
          <w:lang w:val="fr-FR"/>
        </w:rPr>
        <w:t>28</w:t>
      </w:r>
      <w:r w:rsidRPr="00C01637">
        <w:rPr>
          <w:lang w:val="fr-FR"/>
        </w:rPr>
        <w:t xml:space="preserve"> ci-dessus) et par l</w:t>
      </w:r>
      <w:r w:rsidR="00B42F86">
        <w:rPr>
          <w:lang w:val="fr-FR"/>
        </w:rPr>
        <w:t>’</w:t>
      </w:r>
      <w:r w:rsidRPr="00C01637">
        <w:rPr>
          <w:lang w:val="fr-FR"/>
        </w:rPr>
        <w:t>article 37 du règlement didactique de l</w:t>
      </w:r>
      <w:r w:rsidR="00B42F86">
        <w:rPr>
          <w:lang w:val="fr-FR"/>
        </w:rPr>
        <w:t>’</w:t>
      </w:r>
      <w:r w:rsidRPr="00C01637">
        <w:rPr>
          <w:lang w:val="fr-FR"/>
        </w:rPr>
        <w:t>athénée de Naples (paragraphe</w:t>
      </w:r>
      <w:r>
        <w:rPr>
          <w:lang w:val="fr-FR"/>
        </w:rPr>
        <w:t> 29</w:t>
      </w:r>
      <w:r w:rsidRPr="00C01637">
        <w:rPr>
          <w:lang w:val="fr-FR"/>
        </w:rPr>
        <w:t xml:space="preserve"> ci-dessus). Ces textes étaient accessibles et, aux yeux de la Cour, rédigés avec assez de précision pour permettre à chacun – en s</w:t>
      </w:r>
      <w:r w:rsidR="00B42F86">
        <w:rPr>
          <w:lang w:val="fr-FR"/>
        </w:rPr>
        <w:t>’</w:t>
      </w:r>
      <w:r w:rsidRPr="00C01637">
        <w:rPr>
          <w:lang w:val="fr-FR"/>
        </w:rPr>
        <w:t>entourant au besoin de conseils éclairés – de prévoir, à un degré raisonnable dans les circonstances de la cause, les conséquences de nature à dériver d</w:t>
      </w:r>
      <w:r w:rsidR="00B42F86">
        <w:rPr>
          <w:lang w:val="fr-FR"/>
        </w:rPr>
        <w:t>’</w:t>
      </w:r>
      <w:r w:rsidRPr="00C01637">
        <w:rPr>
          <w:lang w:val="fr-FR"/>
        </w:rPr>
        <w:t>un acte déterminé (voir, parmi beaucoup d</w:t>
      </w:r>
      <w:r w:rsidR="00B42F86">
        <w:rPr>
          <w:lang w:val="fr-FR"/>
        </w:rPr>
        <w:t>’</w:t>
      </w:r>
      <w:r w:rsidRPr="00C01637">
        <w:rPr>
          <w:lang w:val="fr-FR"/>
        </w:rPr>
        <w:t xml:space="preserve">autres, </w:t>
      </w:r>
      <w:r w:rsidRPr="00C01637">
        <w:rPr>
          <w:i/>
          <w:lang w:val="fr-FR"/>
        </w:rPr>
        <w:t>Sunday Times c.</w:t>
      </w:r>
      <w:r w:rsidR="00E80F87">
        <w:rPr>
          <w:i/>
          <w:lang w:val="fr-FR"/>
        </w:rPr>
        <w:t xml:space="preserve"> </w:t>
      </w:r>
      <w:r w:rsidRPr="00C01637">
        <w:rPr>
          <w:i/>
          <w:lang w:val="fr-FR"/>
        </w:rPr>
        <w:t>Royaume-Uni (n</w:t>
      </w:r>
      <w:r w:rsidR="0092451F" w:rsidRPr="0092451F">
        <w:rPr>
          <w:i/>
          <w:vertAlign w:val="superscript"/>
          <w:lang w:val="fr-FR"/>
        </w:rPr>
        <w:t>o</w:t>
      </w:r>
      <w:r w:rsidRPr="00C01637">
        <w:rPr>
          <w:i/>
          <w:lang w:val="fr-FR"/>
        </w:rPr>
        <w:t xml:space="preserve"> 1)</w:t>
      </w:r>
      <w:r w:rsidRPr="00C01637">
        <w:rPr>
          <w:lang w:val="fr-FR"/>
        </w:rPr>
        <w:t>, 26 avril 1979, §</w:t>
      </w:r>
      <w:r>
        <w:rPr>
          <w:lang w:val="fr-FR"/>
        </w:rPr>
        <w:t> </w:t>
      </w:r>
      <w:r w:rsidRPr="00C01637">
        <w:rPr>
          <w:lang w:val="fr-FR"/>
        </w:rPr>
        <w:t>49, série A n</w:t>
      </w:r>
      <w:r w:rsidR="0092451F" w:rsidRPr="0092451F">
        <w:rPr>
          <w:vertAlign w:val="superscript"/>
          <w:lang w:val="fr-FR"/>
        </w:rPr>
        <w:t>o</w:t>
      </w:r>
      <w:r w:rsidRPr="00C01637">
        <w:rPr>
          <w:lang w:val="fr-FR"/>
        </w:rPr>
        <w:t xml:space="preserve"> 30).</w:t>
      </w:r>
    </w:p>
    <w:p w:rsidR="00786D0F" w:rsidRPr="00C01637" w:rsidRDefault="00786D0F" w:rsidP="00786D0F">
      <w:pPr>
        <w:pStyle w:val="ECHRPara"/>
        <w:rPr>
          <w:lang w:val="fr-FR"/>
        </w:rPr>
      </w:pPr>
      <w:r>
        <w:rPr>
          <w:lang w:val="fr-FR"/>
        </w:rPr>
        <w:t>79</w:t>
      </w:r>
      <w:r w:rsidRPr="00C01637">
        <w:rPr>
          <w:lang w:val="fr-FR"/>
        </w:rPr>
        <w:t xml:space="preserve">.  Pour ce qui est de la </w:t>
      </w:r>
      <w:r w:rsidRPr="00413EE6">
        <w:rPr>
          <w:lang w:val="fr-FR"/>
        </w:rPr>
        <w:t>justification</w:t>
      </w:r>
      <w:r w:rsidRPr="00C01637">
        <w:rPr>
          <w:lang w:val="fr-FR"/>
        </w:rPr>
        <w:t xml:space="preserve"> de la sanction, la Cour relève que le requérant n</w:t>
      </w:r>
      <w:r w:rsidR="00B42F86">
        <w:rPr>
          <w:lang w:val="fr-FR"/>
        </w:rPr>
        <w:t>’</w:t>
      </w:r>
      <w:r w:rsidRPr="00C01637">
        <w:rPr>
          <w:lang w:val="fr-FR"/>
        </w:rPr>
        <w:t>a pas produit devant elle une copie des courriels qu</w:t>
      </w:r>
      <w:r w:rsidR="00B42F86">
        <w:rPr>
          <w:lang w:val="fr-FR"/>
        </w:rPr>
        <w:t>’</w:t>
      </w:r>
      <w:r w:rsidRPr="00C01637">
        <w:rPr>
          <w:lang w:val="fr-FR"/>
        </w:rPr>
        <w:t xml:space="preserve">il a adressés </w:t>
      </w:r>
      <w:r w:rsidRPr="00C01637">
        <w:rPr>
          <w:lang w:val="fr-FR"/>
        </w:rPr>
        <w:lastRenderedPageBreak/>
        <w:t>à X et à d</w:t>
      </w:r>
      <w:r w:rsidR="00B42F86">
        <w:rPr>
          <w:lang w:val="fr-FR"/>
        </w:rPr>
        <w:t>’</w:t>
      </w:r>
      <w:r w:rsidRPr="00C01637">
        <w:rPr>
          <w:lang w:val="fr-FR"/>
        </w:rPr>
        <w:t>autres professeurs. L</w:t>
      </w:r>
      <w:r w:rsidR="00B42F86">
        <w:rPr>
          <w:lang w:val="fr-FR"/>
        </w:rPr>
        <w:t>’</w:t>
      </w:r>
      <w:r w:rsidRPr="00C01637">
        <w:rPr>
          <w:lang w:val="fr-FR"/>
        </w:rPr>
        <w:t>intéressé n</w:t>
      </w:r>
      <w:r w:rsidR="00B42F86">
        <w:rPr>
          <w:lang w:val="fr-FR"/>
        </w:rPr>
        <w:t>’</w:t>
      </w:r>
      <w:r w:rsidRPr="00C01637">
        <w:rPr>
          <w:lang w:val="fr-FR"/>
        </w:rPr>
        <w:t>a pas non plus décrit dans le détail devant la Cour le comportement qu</w:t>
      </w:r>
      <w:r w:rsidR="00B42F86">
        <w:rPr>
          <w:lang w:val="fr-FR"/>
        </w:rPr>
        <w:t>’</w:t>
      </w:r>
      <w:r w:rsidRPr="00C01637">
        <w:rPr>
          <w:lang w:val="fr-FR"/>
        </w:rPr>
        <w:t>il aurait tenu envers les employés de l</w:t>
      </w:r>
      <w:r w:rsidR="00B42F86">
        <w:rPr>
          <w:lang w:val="fr-FR"/>
        </w:rPr>
        <w:t>’</w:t>
      </w:r>
      <w:r w:rsidRPr="00C01637">
        <w:rPr>
          <w:lang w:val="fr-FR"/>
        </w:rPr>
        <w:t>université de Naples. Il n</w:t>
      </w:r>
      <w:r w:rsidR="00B42F86">
        <w:rPr>
          <w:lang w:val="fr-FR"/>
        </w:rPr>
        <w:t>’</w:t>
      </w:r>
      <w:r w:rsidRPr="00C01637">
        <w:rPr>
          <w:lang w:val="fr-FR"/>
        </w:rPr>
        <w:t>a donc pas permis à la Cour d</w:t>
      </w:r>
      <w:r w:rsidR="00B42F86">
        <w:rPr>
          <w:lang w:val="fr-FR"/>
        </w:rPr>
        <w:t>’</w:t>
      </w:r>
      <w:r w:rsidRPr="00C01637">
        <w:rPr>
          <w:lang w:val="fr-FR"/>
        </w:rPr>
        <w:t>apprécier la proportionnalité de la sanction litigieuse et n</w:t>
      </w:r>
      <w:r w:rsidR="00B42F86">
        <w:rPr>
          <w:lang w:val="fr-FR"/>
        </w:rPr>
        <w:t>’</w:t>
      </w:r>
      <w:r w:rsidRPr="00C01637">
        <w:rPr>
          <w:lang w:val="fr-FR"/>
        </w:rPr>
        <w:t>a pas dûment étayé son grief tiré de l</w:t>
      </w:r>
      <w:r w:rsidR="00B42F86">
        <w:rPr>
          <w:lang w:val="fr-FR"/>
        </w:rPr>
        <w:t>’</w:t>
      </w:r>
      <w:r w:rsidRPr="00C01637">
        <w:rPr>
          <w:lang w:val="fr-FR"/>
        </w:rPr>
        <w:t>article 10 de la Convention.</w:t>
      </w:r>
    </w:p>
    <w:p w:rsidR="0092451F" w:rsidRDefault="00786D0F" w:rsidP="00786D0F">
      <w:pPr>
        <w:pStyle w:val="ECHRPara"/>
        <w:rPr>
          <w:lang w:val="fr-FR"/>
        </w:rPr>
      </w:pPr>
      <w:r>
        <w:rPr>
          <w:lang w:val="fr-FR"/>
        </w:rPr>
        <w:t>80</w:t>
      </w:r>
      <w:r w:rsidRPr="00C01637">
        <w:rPr>
          <w:lang w:val="fr-FR"/>
        </w:rPr>
        <w:t>.  </w:t>
      </w:r>
      <w:r w:rsidRPr="00C01637">
        <w:rPr>
          <w:rFonts w:cstheme="minorHAnsi"/>
          <w:lang w:val="fr-FR"/>
        </w:rPr>
        <w:t>À</w:t>
      </w:r>
      <w:r w:rsidRPr="00C01637">
        <w:rPr>
          <w:lang w:val="fr-FR"/>
        </w:rPr>
        <w:t xml:space="preserve"> titre surabondant, la Cour observe que le requérant n</w:t>
      </w:r>
      <w:r w:rsidR="00B42F86">
        <w:rPr>
          <w:lang w:val="fr-FR"/>
        </w:rPr>
        <w:t>’</w:t>
      </w:r>
      <w:r w:rsidRPr="00C01637">
        <w:rPr>
          <w:lang w:val="fr-FR"/>
        </w:rPr>
        <w:t>a pas été sanctionné pour avoir critiqué l</w:t>
      </w:r>
      <w:r w:rsidR="00B42F86">
        <w:rPr>
          <w:lang w:val="fr-FR"/>
        </w:rPr>
        <w:t>’</w:t>
      </w:r>
      <w:r w:rsidRPr="00C01637">
        <w:rPr>
          <w:lang w:val="fr-FR"/>
        </w:rPr>
        <w:t>institution universitaire, mais pour avoir porté atteinte à la dignité et au prestige de celle-ci en adressant à X des courriels au contenu menaçant et injurieux et en agressant verbalement Y. La première circonstance ressortait des copies des courriels produits par X et dont le requérant se revendiquait l</w:t>
      </w:r>
      <w:r w:rsidR="00B42F86">
        <w:rPr>
          <w:lang w:val="fr-FR"/>
        </w:rPr>
        <w:t>’</w:t>
      </w:r>
      <w:r w:rsidRPr="00C01637">
        <w:rPr>
          <w:lang w:val="fr-FR"/>
        </w:rPr>
        <w:t>auteur, alors que la deuxième avait été confirmée par un témoin oculaire des faits, W. L</w:t>
      </w:r>
      <w:r w:rsidR="00B42F86">
        <w:rPr>
          <w:lang w:val="fr-FR"/>
        </w:rPr>
        <w:t>’</w:t>
      </w:r>
      <w:r w:rsidRPr="00C01637">
        <w:rPr>
          <w:lang w:val="fr-FR"/>
        </w:rPr>
        <w:t xml:space="preserve">infliction de la sanction disciplinaire </w:t>
      </w:r>
      <w:r w:rsidRPr="00413EE6">
        <w:rPr>
          <w:lang w:val="fr-FR"/>
        </w:rPr>
        <w:t>visait donc le but légitime de la protection de la réputation et des droits d</w:t>
      </w:r>
      <w:r w:rsidR="00B42F86">
        <w:rPr>
          <w:lang w:val="fr-FR"/>
        </w:rPr>
        <w:t>’</w:t>
      </w:r>
      <w:r w:rsidRPr="00413EE6">
        <w:rPr>
          <w:lang w:val="fr-FR"/>
        </w:rPr>
        <w:t>autrui et</w:t>
      </w:r>
      <w:r>
        <w:rPr>
          <w:lang w:val="fr-FR"/>
        </w:rPr>
        <w:t xml:space="preserve"> a </w:t>
      </w:r>
      <w:r w:rsidRPr="00C01637">
        <w:rPr>
          <w:lang w:val="fr-FR"/>
        </w:rPr>
        <w:t>été motivée par les modalités, jugées inadmissibles, de l</w:t>
      </w:r>
      <w:r w:rsidR="00B42F86">
        <w:rPr>
          <w:lang w:val="fr-FR"/>
        </w:rPr>
        <w:t>’</w:t>
      </w:r>
      <w:r w:rsidRPr="00C01637">
        <w:rPr>
          <w:lang w:val="fr-FR"/>
        </w:rPr>
        <w:t>expression du requérant, et non par le fait en soi d</w:t>
      </w:r>
      <w:r w:rsidR="00B42F86">
        <w:rPr>
          <w:lang w:val="fr-FR"/>
        </w:rPr>
        <w:t>’</w:t>
      </w:r>
      <w:r w:rsidRPr="00C01637">
        <w:rPr>
          <w:lang w:val="fr-FR"/>
        </w:rPr>
        <w:t>avoir critiqué une institution.</w:t>
      </w:r>
    </w:p>
    <w:p w:rsidR="00786D0F" w:rsidRPr="00C01637" w:rsidRDefault="00786D0F" w:rsidP="00786D0F">
      <w:pPr>
        <w:pStyle w:val="ECHRPara"/>
        <w:rPr>
          <w:lang w:val="fr-FR"/>
        </w:rPr>
      </w:pPr>
      <w:r>
        <w:rPr>
          <w:lang w:val="fr-FR"/>
        </w:rPr>
        <w:t>81</w:t>
      </w:r>
      <w:r w:rsidRPr="00C01637">
        <w:rPr>
          <w:lang w:val="fr-FR"/>
        </w:rPr>
        <w:t>.  Dans ces conditions, la Cour ne saurait déceler aucune apparence de violation de l</w:t>
      </w:r>
      <w:r w:rsidR="00B42F86">
        <w:rPr>
          <w:lang w:val="fr-FR"/>
        </w:rPr>
        <w:t>’</w:t>
      </w:r>
      <w:r w:rsidRPr="00C01637">
        <w:rPr>
          <w:lang w:val="fr-FR"/>
        </w:rPr>
        <w:t>article 10 de la Convention.</w:t>
      </w:r>
    </w:p>
    <w:p w:rsidR="00786D0F" w:rsidRPr="00C01637" w:rsidRDefault="00786D0F" w:rsidP="00786D0F">
      <w:pPr>
        <w:pStyle w:val="ECHRPara"/>
        <w:rPr>
          <w:lang w:val="fr-FR"/>
        </w:rPr>
      </w:pPr>
      <w:r>
        <w:rPr>
          <w:lang w:val="fr-FR"/>
        </w:rPr>
        <w:t>82</w:t>
      </w:r>
      <w:r w:rsidRPr="00C01637">
        <w:rPr>
          <w:lang w:val="fr-FR"/>
        </w:rPr>
        <w:t>.  </w:t>
      </w:r>
      <w:r w:rsidRPr="00C01637">
        <w:rPr>
          <w:snapToGrid w:val="0"/>
          <w:lang w:val="fr-FR"/>
        </w:rPr>
        <w:t>Il s</w:t>
      </w:r>
      <w:r w:rsidR="00B42F86">
        <w:rPr>
          <w:snapToGrid w:val="0"/>
          <w:lang w:val="fr-FR"/>
        </w:rPr>
        <w:t>’</w:t>
      </w:r>
      <w:r w:rsidRPr="00C01637">
        <w:rPr>
          <w:snapToGrid w:val="0"/>
          <w:lang w:val="fr-FR"/>
        </w:rPr>
        <w:t>ensuit que ce grief est manifestement mal fondé et doit être rejeté en application de l</w:t>
      </w:r>
      <w:r w:rsidR="00B42F86">
        <w:rPr>
          <w:snapToGrid w:val="0"/>
          <w:lang w:val="fr-FR"/>
        </w:rPr>
        <w:t>’</w:t>
      </w:r>
      <w:r w:rsidRPr="00C01637">
        <w:rPr>
          <w:snapToGrid w:val="0"/>
          <w:lang w:val="fr-FR"/>
        </w:rPr>
        <w:t>article 35 §§ 3 </w:t>
      </w:r>
      <w:r w:rsidRPr="00C01637">
        <w:rPr>
          <w:lang w:val="fr-FR"/>
        </w:rPr>
        <w:t xml:space="preserve">a) </w:t>
      </w:r>
      <w:r w:rsidRPr="00C01637">
        <w:rPr>
          <w:snapToGrid w:val="0"/>
          <w:lang w:val="fr-FR"/>
        </w:rPr>
        <w:t>et 4 de la Convention.</w:t>
      </w:r>
    </w:p>
    <w:p w:rsidR="00786D0F" w:rsidRPr="00C01637" w:rsidRDefault="00786D0F" w:rsidP="00786D0F">
      <w:pPr>
        <w:pStyle w:val="DecList"/>
        <w:keepNext/>
        <w:keepLines/>
        <w:rPr>
          <w:lang w:val="fr-FR"/>
        </w:rPr>
      </w:pPr>
      <w:r w:rsidRPr="00C01637">
        <w:rPr>
          <w:lang w:val="fr-FR"/>
        </w:rPr>
        <w:t>Par ces motifs, la Cour, à l</w:t>
      </w:r>
      <w:r w:rsidR="00B42F86">
        <w:rPr>
          <w:lang w:val="fr-FR"/>
        </w:rPr>
        <w:t>’</w:t>
      </w:r>
      <w:r w:rsidRPr="00C01637">
        <w:rPr>
          <w:lang w:val="fr-FR"/>
        </w:rPr>
        <w:t>unanimité,</w:t>
      </w:r>
    </w:p>
    <w:p w:rsidR="00786D0F" w:rsidRPr="00C01637" w:rsidRDefault="00786D0F" w:rsidP="00786D0F">
      <w:pPr>
        <w:pStyle w:val="DecList"/>
        <w:keepNext/>
        <w:keepLines/>
        <w:rPr>
          <w:lang w:val="fr-FR"/>
        </w:rPr>
      </w:pPr>
      <w:r w:rsidRPr="00C01637">
        <w:rPr>
          <w:i/>
          <w:lang w:val="fr-FR"/>
        </w:rPr>
        <w:t xml:space="preserve">Déclare </w:t>
      </w:r>
      <w:r w:rsidRPr="00C01637">
        <w:rPr>
          <w:lang w:val="fr-FR"/>
        </w:rPr>
        <w:t>la requête irrecevable.</w:t>
      </w:r>
    </w:p>
    <w:p w:rsidR="006544C4" w:rsidRPr="00AD4F05" w:rsidRDefault="006544C4" w:rsidP="004047FE">
      <w:pPr>
        <w:pStyle w:val="ECHRPara"/>
        <w:rPr>
          <w:sz w:val="2"/>
          <w:szCs w:val="2"/>
          <w:lang w:val="fr-FR" w:eastAsia="en-GB"/>
        </w:rPr>
      </w:pPr>
    </w:p>
    <w:p w:rsidR="006F19B0" w:rsidRPr="00AD4F05" w:rsidRDefault="00F40988" w:rsidP="006F19B0">
      <w:pPr>
        <w:pStyle w:val="JuParaLast"/>
        <w:rPr>
          <w:lang w:val="fr-FR"/>
        </w:rPr>
      </w:pPr>
      <w:r w:rsidRPr="00AD4F05">
        <w:rPr>
          <w:szCs w:val="24"/>
          <w:lang w:val="fr-FR"/>
        </w:rPr>
        <w:t xml:space="preserve">Fait en français puis communiqué par écrit le </w:t>
      </w:r>
      <w:r w:rsidR="00786D0F">
        <w:rPr>
          <w:szCs w:val="24"/>
          <w:lang w:val="fr-FR"/>
        </w:rPr>
        <w:t>14 janvier 2016</w:t>
      </w:r>
      <w:r w:rsidRPr="00AD4F05">
        <w:rPr>
          <w:lang w:val="fr-FR"/>
        </w:rPr>
        <w:t>.</w:t>
      </w:r>
    </w:p>
    <w:p w:rsidR="00234E8A" w:rsidRPr="00AD4F05" w:rsidRDefault="00786D0F" w:rsidP="00AD5A90">
      <w:pPr>
        <w:pStyle w:val="JuSigned"/>
        <w:rPr>
          <w:lang w:val="fr-FR"/>
        </w:rPr>
      </w:pPr>
      <w:r w:rsidRPr="00AD4F05">
        <w:rPr>
          <w:lang w:val="fr-FR"/>
        </w:rPr>
        <w:tab/>
      </w:r>
      <w:r w:rsidR="00857D1D" w:rsidRPr="0092451F">
        <w:rPr>
          <w:lang w:val="fr-FR"/>
        </w:rPr>
        <w:t>André Wampach</w:t>
      </w:r>
      <w:r w:rsidR="006544C4" w:rsidRPr="0092451F">
        <w:rPr>
          <w:lang w:val="fr-FR"/>
        </w:rPr>
        <w:tab/>
      </w:r>
      <w:r w:rsidRPr="0092451F">
        <w:rPr>
          <w:lang w:val="fr-FR"/>
        </w:rPr>
        <w:t>Päivi Hirvelä</w:t>
      </w:r>
      <w:r w:rsidR="006544C4" w:rsidRPr="0092451F">
        <w:rPr>
          <w:lang w:val="fr-FR"/>
        </w:rPr>
        <w:br/>
      </w:r>
      <w:r w:rsidR="006544C4" w:rsidRPr="0092451F">
        <w:rPr>
          <w:lang w:val="fr-FR"/>
        </w:rPr>
        <w:tab/>
      </w:r>
      <w:r w:rsidRPr="0092451F">
        <w:rPr>
          <w:lang w:val="fr-FR"/>
        </w:rPr>
        <w:t>Greffier</w:t>
      </w:r>
      <w:r w:rsidR="00857D1D" w:rsidRPr="0092451F">
        <w:rPr>
          <w:lang w:val="fr-FR"/>
        </w:rPr>
        <w:t xml:space="preserve"> adjoint</w:t>
      </w:r>
      <w:r w:rsidR="006544C4" w:rsidRPr="0092451F">
        <w:rPr>
          <w:lang w:val="fr-FR"/>
        </w:rPr>
        <w:tab/>
      </w:r>
      <w:r w:rsidRPr="0092451F">
        <w:rPr>
          <w:lang w:val="fr-FR"/>
        </w:rPr>
        <w:t>Présidente</w:t>
      </w:r>
    </w:p>
    <w:sectPr w:rsidR="00234E8A" w:rsidRPr="00AD4F05" w:rsidSect="00AF7102">
      <w:headerReference w:type="even" r:id="rId11"/>
      <w:headerReference w:type="default" r:id="rId12"/>
      <w:headerReference w:type="first" r:id="rId13"/>
      <w:footerReference w:type="first" r:id="rId14"/>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17F" w:rsidRDefault="00DD017F" w:rsidP="006544C4">
      <w:r>
        <w:separator/>
      </w:r>
    </w:p>
  </w:endnote>
  <w:endnote w:type="continuationSeparator" w:id="0">
    <w:p w:rsidR="00DD017F" w:rsidRDefault="00DD017F" w:rsidP="00654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0" w:rsidRPr="00150BFA" w:rsidRDefault="00AD5A90" w:rsidP="00786D0F">
    <w:pPr>
      <w:jc w:val="center"/>
    </w:pPr>
    <w:r>
      <w:rPr>
        <w:noProof/>
        <w:lang w:val="it-IT" w:eastAsia="it-IT"/>
      </w:rPr>
      <w:drawing>
        <wp:inline distT="0" distB="0" distL="0" distR="0" wp14:anchorId="4BC74AB7" wp14:editId="378A3E4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AD5A90" w:rsidRPr="00633A19" w:rsidRDefault="00AD5A90" w:rsidP="00786D0F">
    <w:pPr>
      <w:jc w:val="cen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17F" w:rsidRDefault="00DD017F" w:rsidP="006544C4">
      <w:r>
        <w:separator/>
      </w:r>
    </w:p>
  </w:footnote>
  <w:footnote w:type="continuationSeparator" w:id="0">
    <w:p w:rsidR="00DD017F" w:rsidRDefault="00DD017F" w:rsidP="006544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0" w:rsidRPr="000D527F" w:rsidRDefault="00AD5A90" w:rsidP="003312A3">
    <w:pPr>
      <w:pStyle w:val="ECHRHeader"/>
      <w:rPr>
        <w:lang w:val="en-GB"/>
      </w:rPr>
    </w:pP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EB7177">
      <w:rPr>
        <w:rStyle w:val="Numeropagina"/>
        <w:noProof/>
        <w:lang w:val="en-GB"/>
      </w:rPr>
      <w:t>2</w:t>
    </w:r>
    <w:r>
      <w:rPr>
        <w:rStyle w:val="Numeropagina"/>
        <w:lang w:val="en-GB"/>
      </w:rPr>
      <w:fldChar w:fldCharType="end"/>
    </w:r>
    <w:r w:rsidRPr="000D527F">
      <w:rPr>
        <w:lang w:val="en-GB"/>
      </w:rPr>
      <w:tab/>
      <w:t xml:space="preserve">DÉCISION </w:t>
    </w:r>
    <w:r>
      <w:rPr>
        <w:lang w:val="en-GB"/>
      </w:rPr>
      <w:t>MONACO c. ITALIE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0" w:rsidRPr="000D527F" w:rsidRDefault="00AD5A90" w:rsidP="006544C4">
    <w:pPr>
      <w:pStyle w:val="ECHRHeader"/>
      <w:rPr>
        <w:lang w:val="en-GB"/>
      </w:rPr>
    </w:pPr>
    <w:r>
      <w:tab/>
    </w:r>
    <w:r w:rsidRPr="000D527F">
      <w:rPr>
        <w:lang w:val="en-GB"/>
      </w:rPr>
      <w:t xml:space="preserve">DÉCISION </w:t>
    </w:r>
    <w:r>
      <w:rPr>
        <w:lang w:val="en-GB"/>
      </w:rPr>
      <w:t>MONACO c. ITALIE</w:t>
    </w:r>
    <w:r w:rsidRPr="000D527F">
      <w:rPr>
        <w:lang w:val="en-GB"/>
      </w:rPr>
      <w:tab/>
    </w:r>
    <w:r>
      <w:rPr>
        <w:rStyle w:val="Numeropagina"/>
        <w:lang w:val="en-GB"/>
      </w:rPr>
      <w:fldChar w:fldCharType="begin"/>
    </w:r>
    <w:r>
      <w:rPr>
        <w:rStyle w:val="Numeropagina"/>
        <w:lang w:val="en-GB"/>
      </w:rPr>
      <w:instrText xml:space="preserve"> PAGE </w:instrText>
    </w:r>
    <w:r>
      <w:rPr>
        <w:rStyle w:val="Numeropagina"/>
        <w:lang w:val="en-GB"/>
      </w:rPr>
      <w:fldChar w:fldCharType="separate"/>
    </w:r>
    <w:r w:rsidR="00EB7177">
      <w:rPr>
        <w:rStyle w:val="Numeropagina"/>
        <w:noProof/>
        <w:lang w:val="en-GB"/>
      </w:rPr>
      <w:t>17</w:t>
    </w:r>
    <w:r>
      <w:rPr>
        <w:rStyle w:val="Numeropagina"/>
        <w:lang w:val="en-G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A90" w:rsidRPr="00A45145" w:rsidRDefault="00AD5A90" w:rsidP="00786D0F">
    <w:pPr>
      <w:jc w:val="center"/>
    </w:pPr>
    <w:r>
      <w:rPr>
        <w:noProof/>
        <w:lang w:val="it-IT" w:eastAsia="it-IT"/>
      </w:rPr>
      <w:drawing>
        <wp:inline distT="0" distB="0" distL="0" distR="0" wp14:anchorId="1A5833FF" wp14:editId="44CF78AE">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AD5A90" w:rsidRDefault="00AD5A90" w:rsidP="00786D0F">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26C5606"/>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B784B494"/>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52BEA742"/>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50CE4694"/>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0CDAA"/>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3FAB61E"/>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997A584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3A5A1074"/>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3DE83B68"/>
    <w:lvl w:ilvl="0">
      <w:start w:val="1"/>
      <w:numFmt w:val="decimal"/>
      <w:pStyle w:val="Numeroelenco"/>
      <w:lvlText w:val="%1."/>
      <w:lvlJc w:val="left"/>
      <w:pPr>
        <w:tabs>
          <w:tab w:val="num" w:pos="360"/>
        </w:tabs>
        <w:ind w:left="360" w:hanging="360"/>
      </w:pPr>
    </w:lvl>
  </w:abstractNum>
  <w:abstractNum w:abstractNumId="9">
    <w:nsid w:val="FFFFFF89"/>
    <w:multiLevelType w:val="singleLevel"/>
    <w:tmpl w:val="215E9F46"/>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590D1DC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26306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7CCD2930"/>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7"/>
  </w:num>
  <w:num w:numId="2">
    <w:abstractNumId w:val="6"/>
  </w:num>
  <w:num w:numId="3">
    <w:abstractNumId w:val="10"/>
  </w:num>
  <w:num w:numId="4">
    <w:abstractNumId w:val="11"/>
  </w:num>
  <w:num w:numId="5">
    <w:abstractNumId w:val="13"/>
  </w:num>
  <w:num w:numId="6">
    <w:abstractNumId w:val="9"/>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AppNatAutre" w:val="0"/>
    <w:docVar w:name="DocVarPREMATURE" w:val="0"/>
    <w:docVar w:name="EMM" w:val="0"/>
    <w:docVar w:name="ETRANSMISSION" w:val="PAR VOIE ÉLECTRONIQUE UNIQUEMENT"/>
    <w:docVar w:name="L4_1Annex" w:val="0"/>
    <w:docVar w:name="L4_1Anonymity" w:val="0"/>
    <w:docVar w:name="NBEMMDOC" w:val="0"/>
    <w:docVar w:name="Plural" w:val="0"/>
    <w:docVar w:name="SignForeName" w:val="0"/>
  </w:docVars>
  <w:rsids>
    <w:rsidRoot w:val="00786D0F"/>
    <w:rsid w:val="000041F8"/>
    <w:rsid w:val="000042A8"/>
    <w:rsid w:val="00004308"/>
    <w:rsid w:val="00005BF0"/>
    <w:rsid w:val="00007154"/>
    <w:rsid w:val="000103AE"/>
    <w:rsid w:val="00011D69"/>
    <w:rsid w:val="00012AD3"/>
    <w:rsid w:val="00015C2D"/>
    <w:rsid w:val="00015F00"/>
    <w:rsid w:val="00022C1D"/>
    <w:rsid w:val="00034987"/>
    <w:rsid w:val="000602DF"/>
    <w:rsid w:val="00061B05"/>
    <w:rsid w:val="000632D5"/>
    <w:rsid w:val="000644EE"/>
    <w:rsid w:val="000925AD"/>
    <w:rsid w:val="000A24EB"/>
    <w:rsid w:val="000B6923"/>
    <w:rsid w:val="000C5F3C"/>
    <w:rsid w:val="000C6DCC"/>
    <w:rsid w:val="000D47AA"/>
    <w:rsid w:val="000D721F"/>
    <w:rsid w:val="000E069B"/>
    <w:rsid w:val="000E0E82"/>
    <w:rsid w:val="000E1DC5"/>
    <w:rsid w:val="000E223F"/>
    <w:rsid w:val="000E7D45"/>
    <w:rsid w:val="000F7851"/>
    <w:rsid w:val="00104E23"/>
    <w:rsid w:val="00111B0C"/>
    <w:rsid w:val="00120D6C"/>
    <w:rsid w:val="001257EC"/>
    <w:rsid w:val="00133D33"/>
    <w:rsid w:val="00134D64"/>
    <w:rsid w:val="00135A30"/>
    <w:rsid w:val="0013612C"/>
    <w:rsid w:val="00137FF6"/>
    <w:rsid w:val="00141650"/>
    <w:rsid w:val="00162A12"/>
    <w:rsid w:val="00166530"/>
    <w:rsid w:val="0016678F"/>
    <w:rsid w:val="001832BD"/>
    <w:rsid w:val="001943B5"/>
    <w:rsid w:val="00195134"/>
    <w:rsid w:val="001A145B"/>
    <w:rsid w:val="001A674C"/>
    <w:rsid w:val="001B3B24"/>
    <w:rsid w:val="001C0F98"/>
    <w:rsid w:val="001C2A42"/>
    <w:rsid w:val="001D63ED"/>
    <w:rsid w:val="001D7348"/>
    <w:rsid w:val="001E035B"/>
    <w:rsid w:val="001E0961"/>
    <w:rsid w:val="001E3EAE"/>
    <w:rsid w:val="001E6F32"/>
    <w:rsid w:val="001F2145"/>
    <w:rsid w:val="001F6262"/>
    <w:rsid w:val="001F67B0"/>
    <w:rsid w:val="001F7B3D"/>
    <w:rsid w:val="00205F9F"/>
    <w:rsid w:val="00210338"/>
    <w:rsid w:val="002115FC"/>
    <w:rsid w:val="0021423C"/>
    <w:rsid w:val="00230D00"/>
    <w:rsid w:val="00231DF7"/>
    <w:rsid w:val="00231FD1"/>
    <w:rsid w:val="002339E0"/>
    <w:rsid w:val="00233CF8"/>
    <w:rsid w:val="00234E8A"/>
    <w:rsid w:val="0023575D"/>
    <w:rsid w:val="00237148"/>
    <w:rsid w:val="0024222D"/>
    <w:rsid w:val="00244B0E"/>
    <w:rsid w:val="00244F6C"/>
    <w:rsid w:val="002532C5"/>
    <w:rsid w:val="00260C03"/>
    <w:rsid w:val="0026540E"/>
    <w:rsid w:val="00275123"/>
    <w:rsid w:val="00282240"/>
    <w:rsid w:val="002948AD"/>
    <w:rsid w:val="002A01CC"/>
    <w:rsid w:val="002A61B1"/>
    <w:rsid w:val="002A663C"/>
    <w:rsid w:val="002B444B"/>
    <w:rsid w:val="002B5887"/>
    <w:rsid w:val="002C0E27"/>
    <w:rsid w:val="002C3040"/>
    <w:rsid w:val="002D022D"/>
    <w:rsid w:val="002D24BB"/>
    <w:rsid w:val="002F2AF7"/>
    <w:rsid w:val="002F7E1C"/>
    <w:rsid w:val="00301A75"/>
    <w:rsid w:val="00302F70"/>
    <w:rsid w:val="0030336F"/>
    <w:rsid w:val="0030375E"/>
    <w:rsid w:val="00312A30"/>
    <w:rsid w:val="00320F72"/>
    <w:rsid w:val="0032463E"/>
    <w:rsid w:val="00326224"/>
    <w:rsid w:val="003312A3"/>
    <w:rsid w:val="00334EC5"/>
    <w:rsid w:val="00337EE4"/>
    <w:rsid w:val="00340FFD"/>
    <w:rsid w:val="003506B1"/>
    <w:rsid w:val="00356AC7"/>
    <w:rsid w:val="003609FA"/>
    <w:rsid w:val="003710C8"/>
    <w:rsid w:val="003750BE"/>
    <w:rsid w:val="00381AF0"/>
    <w:rsid w:val="00387B9D"/>
    <w:rsid w:val="0039055E"/>
    <w:rsid w:val="0039364F"/>
    <w:rsid w:val="00396686"/>
    <w:rsid w:val="0039778E"/>
    <w:rsid w:val="003B4941"/>
    <w:rsid w:val="003C5714"/>
    <w:rsid w:val="003C6B9F"/>
    <w:rsid w:val="003C6E2A"/>
    <w:rsid w:val="003D0299"/>
    <w:rsid w:val="003E6D80"/>
    <w:rsid w:val="003E747B"/>
    <w:rsid w:val="003F05FA"/>
    <w:rsid w:val="003F244A"/>
    <w:rsid w:val="003F30B8"/>
    <w:rsid w:val="003F4C45"/>
    <w:rsid w:val="003F5F7B"/>
    <w:rsid w:val="003F7D64"/>
    <w:rsid w:val="004047FE"/>
    <w:rsid w:val="00414300"/>
    <w:rsid w:val="00425C67"/>
    <w:rsid w:val="00427E7A"/>
    <w:rsid w:val="00436C49"/>
    <w:rsid w:val="00445366"/>
    <w:rsid w:val="00447F5B"/>
    <w:rsid w:val="00461DB0"/>
    <w:rsid w:val="00463926"/>
    <w:rsid w:val="00464C9A"/>
    <w:rsid w:val="00474F3D"/>
    <w:rsid w:val="00477E3A"/>
    <w:rsid w:val="00483E5F"/>
    <w:rsid w:val="00485FF9"/>
    <w:rsid w:val="004907F0"/>
    <w:rsid w:val="0049140B"/>
    <w:rsid w:val="004923A5"/>
    <w:rsid w:val="00496BFB"/>
    <w:rsid w:val="004A15C7"/>
    <w:rsid w:val="004B013B"/>
    <w:rsid w:val="004B112B"/>
    <w:rsid w:val="004C01E4"/>
    <w:rsid w:val="004C086C"/>
    <w:rsid w:val="004C1F56"/>
    <w:rsid w:val="004C27BC"/>
    <w:rsid w:val="004D15F3"/>
    <w:rsid w:val="004D5311"/>
    <w:rsid w:val="004D5DCC"/>
    <w:rsid w:val="004F10AF"/>
    <w:rsid w:val="004F11A4"/>
    <w:rsid w:val="004F2389"/>
    <w:rsid w:val="004F304D"/>
    <w:rsid w:val="004F61BE"/>
    <w:rsid w:val="004F66B1"/>
    <w:rsid w:val="00511C07"/>
    <w:rsid w:val="005173A6"/>
    <w:rsid w:val="00520BAA"/>
    <w:rsid w:val="00525208"/>
    <w:rsid w:val="005257A5"/>
    <w:rsid w:val="005264C0"/>
    <w:rsid w:val="00526A8A"/>
    <w:rsid w:val="005318BD"/>
    <w:rsid w:val="00531DF2"/>
    <w:rsid w:val="005442EE"/>
    <w:rsid w:val="00547353"/>
    <w:rsid w:val="005474E7"/>
    <w:rsid w:val="005512A3"/>
    <w:rsid w:val="005578CE"/>
    <w:rsid w:val="00562781"/>
    <w:rsid w:val="0057271C"/>
    <w:rsid w:val="00572845"/>
    <w:rsid w:val="00592772"/>
    <w:rsid w:val="0059574A"/>
    <w:rsid w:val="005A1B9B"/>
    <w:rsid w:val="005A6751"/>
    <w:rsid w:val="005B092E"/>
    <w:rsid w:val="005B152C"/>
    <w:rsid w:val="005B1EE0"/>
    <w:rsid w:val="005B2B24"/>
    <w:rsid w:val="005B4425"/>
    <w:rsid w:val="005B4B94"/>
    <w:rsid w:val="005C3EE8"/>
    <w:rsid w:val="005D0AF8"/>
    <w:rsid w:val="005D34F9"/>
    <w:rsid w:val="005D4190"/>
    <w:rsid w:val="005D67A3"/>
    <w:rsid w:val="005E2988"/>
    <w:rsid w:val="005E3085"/>
    <w:rsid w:val="005F51E1"/>
    <w:rsid w:val="00611C80"/>
    <w:rsid w:val="00620692"/>
    <w:rsid w:val="006242CA"/>
    <w:rsid w:val="00627507"/>
    <w:rsid w:val="00633717"/>
    <w:rsid w:val="006344E1"/>
    <w:rsid w:val="006544C4"/>
    <w:rsid w:val="006545C4"/>
    <w:rsid w:val="00661971"/>
    <w:rsid w:val="00661CE8"/>
    <w:rsid w:val="006623D9"/>
    <w:rsid w:val="0066550C"/>
    <w:rsid w:val="006716F2"/>
    <w:rsid w:val="00682BF2"/>
    <w:rsid w:val="006859CE"/>
    <w:rsid w:val="00691270"/>
    <w:rsid w:val="00694BA8"/>
    <w:rsid w:val="006A037C"/>
    <w:rsid w:val="006A36F4"/>
    <w:rsid w:val="006A406F"/>
    <w:rsid w:val="006A5D3A"/>
    <w:rsid w:val="006C23D4"/>
    <w:rsid w:val="006C7BB0"/>
    <w:rsid w:val="006D3237"/>
    <w:rsid w:val="006E2E37"/>
    <w:rsid w:val="006E3CF1"/>
    <w:rsid w:val="006E7E80"/>
    <w:rsid w:val="006F19B0"/>
    <w:rsid w:val="006F48CA"/>
    <w:rsid w:val="006F64DD"/>
    <w:rsid w:val="00715127"/>
    <w:rsid w:val="00715E8E"/>
    <w:rsid w:val="00723580"/>
    <w:rsid w:val="00723755"/>
    <w:rsid w:val="0073136C"/>
    <w:rsid w:val="00731F0F"/>
    <w:rsid w:val="00733250"/>
    <w:rsid w:val="00741404"/>
    <w:rsid w:val="007449E5"/>
    <w:rsid w:val="00747FF0"/>
    <w:rsid w:val="00764D4E"/>
    <w:rsid w:val="00765A1F"/>
    <w:rsid w:val="00775B6D"/>
    <w:rsid w:val="00776D68"/>
    <w:rsid w:val="007850EE"/>
    <w:rsid w:val="00785B95"/>
    <w:rsid w:val="00786D0F"/>
    <w:rsid w:val="00790E96"/>
    <w:rsid w:val="00793366"/>
    <w:rsid w:val="007A716F"/>
    <w:rsid w:val="007B270A"/>
    <w:rsid w:val="007C0695"/>
    <w:rsid w:val="007C419A"/>
    <w:rsid w:val="007C4CC8"/>
    <w:rsid w:val="007C5426"/>
    <w:rsid w:val="007C5798"/>
    <w:rsid w:val="007D4832"/>
    <w:rsid w:val="007E21B2"/>
    <w:rsid w:val="007E2C4E"/>
    <w:rsid w:val="007F1905"/>
    <w:rsid w:val="00801300"/>
    <w:rsid w:val="00802C64"/>
    <w:rsid w:val="00805E52"/>
    <w:rsid w:val="008061D0"/>
    <w:rsid w:val="00810B38"/>
    <w:rsid w:val="008204C7"/>
    <w:rsid w:val="00820992"/>
    <w:rsid w:val="00823602"/>
    <w:rsid w:val="008255F5"/>
    <w:rsid w:val="0083014E"/>
    <w:rsid w:val="0083214A"/>
    <w:rsid w:val="00834220"/>
    <w:rsid w:val="00845723"/>
    <w:rsid w:val="00851EF9"/>
    <w:rsid w:val="008577FD"/>
    <w:rsid w:val="00857D1D"/>
    <w:rsid w:val="00860B03"/>
    <w:rsid w:val="0086497A"/>
    <w:rsid w:val="008713A1"/>
    <w:rsid w:val="008754AB"/>
    <w:rsid w:val="0088060C"/>
    <w:rsid w:val="00893576"/>
    <w:rsid w:val="00893E73"/>
    <w:rsid w:val="008B02DC"/>
    <w:rsid w:val="008B57CE"/>
    <w:rsid w:val="008C26DE"/>
    <w:rsid w:val="008C4AA6"/>
    <w:rsid w:val="008D2225"/>
    <w:rsid w:val="008D4752"/>
    <w:rsid w:val="008E271C"/>
    <w:rsid w:val="008E418E"/>
    <w:rsid w:val="008E5BC6"/>
    <w:rsid w:val="008E6A25"/>
    <w:rsid w:val="008F5193"/>
    <w:rsid w:val="009013A7"/>
    <w:rsid w:val="009017FB"/>
    <w:rsid w:val="009017FC"/>
    <w:rsid w:val="0090506B"/>
    <w:rsid w:val="009050C9"/>
    <w:rsid w:val="009066FC"/>
    <w:rsid w:val="009140A3"/>
    <w:rsid w:val="009144A2"/>
    <w:rsid w:val="0091510C"/>
    <w:rsid w:val="0092451F"/>
    <w:rsid w:val="009259AC"/>
    <w:rsid w:val="00926F38"/>
    <w:rsid w:val="00934301"/>
    <w:rsid w:val="00934A97"/>
    <w:rsid w:val="00936CD1"/>
    <w:rsid w:val="00941747"/>
    <w:rsid w:val="00941EFB"/>
    <w:rsid w:val="00947AFB"/>
    <w:rsid w:val="00951D7D"/>
    <w:rsid w:val="009630C7"/>
    <w:rsid w:val="00972B55"/>
    <w:rsid w:val="009743B7"/>
    <w:rsid w:val="00977DA8"/>
    <w:rsid w:val="0098228B"/>
    <w:rsid w:val="009828DA"/>
    <w:rsid w:val="00985BAB"/>
    <w:rsid w:val="009B1B5F"/>
    <w:rsid w:val="009B6673"/>
    <w:rsid w:val="009C191B"/>
    <w:rsid w:val="009C2BD6"/>
    <w:rsid w:val="009E1F32"/>
    <w:rsid w:val="009E776C"/>
    <w:rsid w:val="00A1726E"/>
    <w:rsid w:val="00A204CF"/>
    <w:rsid w:val="00A23D49"/>
    <w:rsid w:val="00A27004"/>
    <w:rsid w:val="00A30C29"/>
    <w:rsid w:val="00A34DD6"/>
    <w:rsid w:val="00A36819"/>
    <w:rsid w:val="00A36989"/>
    <w:rsid w:val="00A43628"/>
    <w:rsid w:val="00A54192"/>
    <w:rsid w:val="00A6035E"/>
    <w:rsid w:val="00A6144C"/>
    <w:rsid w:val="00A66617"/>
    <w:rsid w:val="00A671F8"/>
    <w:rsid w:val="00A673A4"/>
    <w:rsid w:val="00A724AE"/>
    <w:rsid w:val="00A73329"/>
    <w:rsid w:val="00A82359"/>
    <w:rsid w:val="00A865D2"/>
    <w:rsid w:val="00A94C20"/>
    <w:rsid w:val="00AA227F"/>
    <w:rsid w:val="00AA3BC7"/>
    <w:rsid w:val="00AA754A"/>
    <w:rsid w:val="00AB099E"/>
    <w:rsid w:val="00AB4328"/>
    <w:rsid w:val="00AD4F05"/>
    <w:rsid w:val="00AD5A90"/>
    <w:rsid w:val="00AE0A2E"/>
    <w:rsid w:val="00AE354C"/>
    <w:rsid w:val="00AF1FFA"/>
    <w:rsid w:val="00AF4B07"/>
    <w:rsid w:val="00AF6186"/>
    <w:rsid w:val="00AF7102"/>
    <w:rsid w:val="00AF7A3A"/>
    <w:rsid w:val="00B160DB"/>
    <w:rsid w:val="00B20836"/>
    <w:rsid w:val="00B235BB"/>
    <w:rsid w:val="00B27A44"/>
    <w:rsid w:val="00B30BBF"/>
    <w:rsid w:val="00B33C03"/>
    <w:rsid w:val="00B42F86"/>
    <w:rsid w:val="00B44E56"/>
    <w:rsid w:val="00B46543"/>
    <w:rsid w:val="00B47D33"/>
    <w:rsid w:val="00B52BE0"/>
    <w:rsid w:val="00B54133"/>
    <w:rsid w:val="00B701ED"/>
    <w:rsid w:val="00B8086C"/>
    <w:rsid w:val="00B8565B"/>
    <w:rsid w:val="00B861B4"/>
    <w:rsid w:val="00B86DFE"/>
    <w:rsid w:val="00B87FB1"/>
    <w:rsid w:val="00B90990"/>
    <w:rsid w:val="00B922FF"/>
    <w:rsid w:val="00B9281E"/>
    <w:rsid w:val="00B93925"/>
    <w:rsid w:val="00B95187"/>
    <w:rsid w:val="00BA2D55"/>
    <w:rsid w:val="00BA71B1"/>
    <w:rsid w:val="00BB0637"/>
    <w:rsid w:val="00BB345F"/>
    <w:rsid w:val="00BB68EA"/>
    <w:rsid w:val="00BC1C27"/>
    <w:rsid w:val="00BC6BBF"/>
    <w:rsid w:val="00BD1572"/>
    <w:rsid w:val="00BE14E3"/>
    <w:rsid w:val="00BE3774"/>
    <w:rsid w:val="00BE41E5"/>
    <w:rsid w:val="00BF4109"/>
    <w:rsid w:val="00BF4CC3"/>
    <w:rsid w:val="00C054C7"/>
    <w:rsid w:val="00C057B5"/>
    <w:rsid w:val="00C22687"/>
    <w:rsid w:val="00C32E4D"/>
    <w:rsid w:val="00C333A0"/>
    <w:rsid w:val="00C36408"/>
    <w:rsid w:val="00C36A81"/>
    <w:rsid w:val="00C41974"/>
    <w:rsid w:val="00C53F4A"/>
    <w:rsid w:val="00C54125"/>
    <w:rsid w:val="00C55B54"/>
    <w:rsid w:val="00C6098E"/>
    <w:rsid w:val="00C6152C"/>
    <w:rsid w:val="00C74810"/>
    <w:rsid w:val="00C90D68"/>
    <w:rsid w:val="00C939FE"/>
    <w:rsid w:val="00CA4BDA"/>
    <w:rsid w:val="00CB1F66"/>
    <w:rsid w:val="00CB2951"/>
    <w:rsid w:val="00CD282B"/>
    <w:rsid w:val="00CD4C35"/>
    <w:rsid w:val="00CD7369"/>
    <w:rsid w:val="00CE0B0E"/>
    <w:rsid w:val="00CE3831"/>
    <w:rsid w:val="00CE6ED9"/>
    <w:rsid w:val="00D00ABB"/>
    <w:rsid w:val="00D02EEC"/>
    <w:rsid w:val="00D03551"/>
    <w:rsid w:val="00D06A63"/>
    <w:rsid w:val="00D07E0E"/>
    <w:rsid w:val="00D11478"/>
    <w:rsid w:val="00D15ED0"/>
    <w:rsid w:val="00D21B3E"/>
    <w:rsid w:val="00D21FED"/>
    <w:rsid w:val="00D24251"/>
    <w:rsid w:val="00D343E2"/>
    <w:rsid w:val="00D361A2"/>
    <w:rsid w:val="00D44C2E"/>
    <w:rsid w:val="00D45414"/>
    <w:rsid w:val="00D566BD"/>
    <w:rsid w:val="00D57A4D"/>
    <w:rsid w:val="00D60AA7"/>
    <w:rsid w:val="00D6435F"/>
    <w:rsid w:val="00D75E28"/>
    <w:rsid w:val="00D772C2"/>
    <w:rsid w:val="00D8008E"/>
    <w:rsid w:val="00D82C45"/>
    <w:rsid w:val="00D908A8"/>
    <w:rsid w:val="00D977B6"/>
    <w:rsid w:val="00DA4A31"/>
    <w:rsid w:val="00DA7B04"/>
    <w:rsid w:val="00DB36C2"/>
    <w:rsid w:val="00DC169B"/>
    <w:rsid w:val="00DC2AB9"/>
    <w:rsid w:val="00DC63F0"/>
    <w:rsid w:val="00DD017F"/>
    <w:rsid w:val="00DD6EE5"/>
    <w:rsid w:val="00DE386C"/>
    <w:rsid w:val="00DE4D35"/>
    <w:rsid w:val="00DF098B"/>
    <w:rsid w:val="00DF1114"/>
    <w:rsid w:val="00DF11C4"/>
    <w:rsid w:val="00DF210C"/>
    <w:rsid w:val="00DF4B6A"/>
    <w:rsid w:val="00E02897"/>
    <w:rsid w:val="00E02C09"/>
    <w:rsid w:val="00E04D59"/>
    <w:rsid w:val="00E07DA1"/>
    <w:rsid w:val="00E123CB"/>
    <w:rsid w:val="00E20E13"/>
    <w:rsid w:val="00E21DBC"/>
    <w:rsid w:val="00E275D7"/>
    <w:rsid w:val="00E27DBE"/>
    <w:rsid w:val="00E32AB1"/>
    <w:rsid w:val="00E36C71"/>
    <w:rsid w:val="00E40404"/>
    <w:rsid w:val="00E459C6"/>
    <w:rsid w:val="00E47589"/>
    <w:rsid w:val="00E64915"/>
    <w:rsid w:val="00E661D4"/>
    <w:rsid w:val="00E70091"/>
    <w:rsid w:val="00E720F5"/>
    <w:rsid w:val="00E76D47"/>
    <w:rsid w:val="00E80F87"/>
    <w:rsid w:val="00E849F7"/>
    <w:rsid w:val="00E8668A"/>
    <w:rsid w:val="00E90302"/>
    <w:rsid w:val="00E97396"/>
    <w:rsid w:val="00EA185E"/>
    <w:rsid w:val="00EA592A"/>
    <w:rsid w:val="00EB14E4"/>
    <w:rsid w:val="00EB32A5"/>
    <w:rsid w:val="00EB34ED"/>
    <w:rsid w:val="00EB7177"/>
    <w:rsid w:val="00EB7BE0"/>
    <w:rsid w:val="00EC315E"/>
    <w:rsid w:val="00EC78A3"/>
    <w:rsid w:val="00ED077C"/>
    <w:rsid w:val="00ED1190"/>
    <w:rsid w:val="00ED6544"/>
    <w:rsid w:val="00EE0277"/>
    <w:rsid w:val="00EE3E00"/>
    <w:rsid w:val="00EE5DD2"/>
    <w:rsid w:val="00F00A79"/>
    <w:rsid w:val="00F00E86"/>
    <w:rsid w:val="00F07C1E"/>
    <w:rsid w:val="00F105DB"/>
    <w:rsid w:val="00F132BC"/>
    <w:rsid w:val="00F13D80"/>
    <w:rsid w:val="00F16AAA"/>
    <w:rsid w:val="00F21161"/>
    <w:rsid w:val="00F218EF"/>
    <w:rsid w:val="00F21BC7"/>
    <w:rsid w:val="00F266A2"/>
    <w:rsid w:val="00F32269"/>
    <w:rsid w:val="00F40988"/>
    <w:rsid w:val="00F56A6F"/>
    <w:rsid w:val="00F5709C"/>
    <w:rsid w:val="00F64EF1"/>
    <w:rsid w:val="00F8765F"/>
    <w:rsid w:val="00F90767"/>
    <w:rsid w:val="00FA685B"/>
    <w:rsid w:val="00FB0C01"/>
    <w:rsid w:val="00FC18F2"/>
    <w:rsid w:val="00FC39E5"/>
    <w:rsid w:val="00FC3A78"/>
    <w:rsid w:val="00FD1005"/>
    <w:rsid w:val="00FD6C75"/>
    <w:rsid w:val="00FE71B3"/>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nhideWhenUsed="1"/>
    <w:lsdException w:name="index 8" w:semiHidden="1" w:uiPriority="0"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lsdException w:name="List 2" w:semiHidden="1" w:uiPriority="0" w:unhideWhenUsed="1"/>
    <w:lsdException w:name="List 3" w:semiHidden="1" w:unhideWhenUsed="1"/>
    <w:lsdException w:name="List 4" w:semiHidden="1" w:uiPriority="0"/>
    <w:lsdException w:name="List 5" w:semiHidden="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iPriority="0" w:unhideWhenUsed="1"/>
    <w:lsdException w:name="List Number 4" w:semiHidden="1"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uiPriority="61"/>
    <w:lsdException w:name="Light Grid"/>
    <w:lsdException w:name="Medium Shading 1"/>
    <w:lsdException w:name="Medium Shading 2"/>
    <w:lsdException w:name="Medium List 1"/>
    <w:lsdException w:name="Medium List 2" w:uiPriority="66"/>
    <w:lsdException w:name="Medium Grid 1" w:uiPriority="67"/>
    <w:lsdException w:name="Medium Grid 2"/>
    <w:lsdException w:name="Medium Grid 3"/>
    <w:lsdException w:name="Dark List"/>
    <w:lsdException w:name="Colorful Shading"/>
    <w:lsdException w:name="Colorful List" w:uiPriority="72"/>
    <w:lsdException w:name="Colorful Grid"/>
    <w:lsdException w:name="Light Shading Accent 1"/>
    <w:lsdException w:name="Light List Accent 1"/>
    <w:lsdException w:name="Light Grid Accent 1" w:uiPriority="62"/>
    <w:lsdException w:name="Medium Shading 1 Accent 1" w:uiPriority="63"/>
    <w:lsdException w:name="Medium Shading 2 Accent 1"/>
    <w:lsdException w:name="Medium List 1 Accent 1" w:uiPriority="65"/>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uiPriority="68"/>
    <w:lsdException w:name="Medium Grid 3 Accent 1"/>
    <w:lsdException w:name="Dark List Accent 1"/>
    <w:lsdException w:name="Colorful Shading Accent 1"/>
    <w:lsdException w:name="Colorful List Accent 1"/>
    <w:lsdException w:name="Colorful Grid Accent 1" w:uiPriority="73"/>
    <w:lsdException w:name="Light Shading Accent 2"/>
    <w:lsdException w:name="Light List Accent 2" w:uiPriority="61"/>
    <w:lsdException w:name="Light Grid Accent 2"/>
    <w:lsdException w:name="Medium Shading 1 Accent 2"/>
    <w:lsdException w:name="Medium Shading 2 Accent 2" w:uiPriority="64"/>
    <w:lsdException w:name="Medium List 1 Accent 2"/>
    <w:lsdException w:name="Medium List 2 Accent 2" w:uiPriority="66"/>
    <w:lsdException w:name="Medium Grid 1 Accent 2"/>
    <w:lsdException w:name="Medium Grid 2 Accent 2"/>
    <w:lsdException w:name="Medium Grid 3 Accent 2" w:uiPriority="69"/>
    <w:lsdException w:name="Dark List Accent 2" w:uiPriority="70"/>
    <w:lsdException w:name="Colorful Shading Accent 2"/>
    <w:lsdException w:name="Colorful List Accent 2" w:uiPriority="72"/>
    <w:lsdException w:name="Colorful Grid Accent 2"/>
    <w:lsdException w:name="Light Shading Accent 3" w:uiPriority="60"/>
    <w:lsdException w:name="Light List Accent 3"/>
    <w:lsdException w:name="Light Grid Accent 3"/>
    <w:lsdException w:name="Medium Shading 1 Accent 3" w:uiPriority="63"/>
    <w:lsdException w:name="Medium Shading 2 Accent 3"/>
    <w:lsdException w:name="Medium List 1 Accent 3" w:uiPriority="65"/>
    <w:lsdException w:name="Medium List 2 Accent 3"/>
    <w:lsdException w:name="Medium Grid 1 Accent 3"/>
    <w:lsdException w:name="Medium Grid 2 Accent 3"/>
    <w:lsdException w:name="Medium Grid 3 Accent 3"/>
    <w:lsdException w:name="Dark List Accent 3"/>
    <w:lsdException w:name="Colorful Shading Accent 3" w:uiPriority="71"/>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uiPriority="66"/>
    <w:lsdException w:name="Medium Grid 1 Accent 4" w:uiPriority="67"/>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uiPriority="62"/>
    <w:lsdException w:name="Medium Shading 1 Accent 5" w:uiPriority="63"/>
    <w:lsdException w:name="Medium Shading 2 Accent 5"/>
    <w:lsdException w:name="Medium List 1 Accent 5"/>
    <w:lsdException w:name="Medium List 2 Accent 5"/>
    <w:lsdException w:name="Medium Grid 1 Accent 5"/>
    <w:lsdException w:name="Medium Grid 2 Accent 5" w:uiPriority="68"/>
    <w:lsdException w:name="Medium Grid 3 Accent 5"/>
    <w:lsdException w:name="Dark List Accent 5"/>
    <w:lsdException w:name="Colorful Shading Accent 5"/>
    <w:lsdException w:name="Colorful List Accent 5"/>
    <w:lsdException w:name="Colorful Grid Accent 5" w:uiPriority="73"/>
    <w:lsdException w:name="Light Shading Accent 6"/>
    <w:lsdException w:name="Light List Accent 6" w:uiPriority="61"/>
    <w:lsdException w:name="Light Grid Accent 6"/>
    <w:lsdException w:name="Medium Shading 1 Accent 6"/>
    <w:lsdException w:name="Medium Shading 2 Accent 6" w:uiPriority="64"/>
    <w:lsdException w:name="Medium List 1 Accent 6"/>
    <w:lsdException w:name="Medium List 2 Accent 6"/>
    <w:lsdException w:name="Medium Grid 1 Accent 6" w:uiPriority="67"/>
    <w:lsdException w:name="Medium Grid 2 Accent 6"/>
    <w:lsdException w:name="Medium Grid 3 Accent 6" w:uiPriority="69"/>
    <w:lsdException w:name="Dark List Accent 6" w:uiPriority="70"/>
    <w:lsdException w:name="Colorful Shading Accent 6"/>
    <w:lsdException w:name="Colorful List Accent 6" w:uiPriority="72"/>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AD5A90"/>
    <w:pPr>
      <w:jc w:val="both"/>
    </w:pPr>
    <w:rPr>
      <w:rFonts w:eastAsiaTheme="minorEastAsia"/>
      <w:sz w:val="24"/>
    </w:rPr>
  </w:style>
  <w:style w:type="paragraph" w:styleId="Titolo1">
    <w:name w:val="heading 1"/>
    <w:basedOn w:val="Normale"/>
    <w:next w:val="Normale"/>
    <w:link w:val="Titolo1Carattere"/>
    <w:uiPriority w:val="99"/>
    <w:semiHidden/>
    <w:rsid w:val="00AD5A90"/>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AD5A90"/>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AD5A90"/>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AD5A90"/>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AD5A90"/>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AD5A90"/>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AD5A90"/>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AD5A90"/>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AD5A90"/>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AD5A9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D5A90"/>
    <w:rPr>
      <w:rFonts w:ascii="Tahoma" w:eastAsiaTheme="minorEastAsia" w:hAnsi="Tahoma" w:cs="Tahoma"/>
      <w:sz w:val="16"/>
      <w:szCs w:val="16"/>
    </w:rPr>
  </w:style>
  <w:style w:type="character" w:styleId="Titolodellibro">
    <w:name w:val="Book Title"/>
    <w:uiPriority w:val="99"/>
    <w:semiHidden/>
    <w:qFormat/>
    <w:rsid w:val="00AD5A90"/>
    <w:rPr>
      <w:i/>
      <w:iCs/>
      <w:smallCaps/>
      <w:spacing w:val="5"/>
    </w:rPr>
  </w:style>
  <w:style w:type="paragraph" w:customStyle="1" w:styleId="ECHRHeader">
    <w:name w:val="ECHR_Header"/>
    <w:aliases w:val="Ju_Header"/>
    <w:basedOn w:val="Intestazione"/>
    <w:uiPriority w:val="4"/>
    <w:qFormat/>
    <w:rsid w:val="00AD5A90"/>
    <w:pPr>
      <w:tabs>
        <w:tab w:val="clear" w:pos="4536"/>
        <w:tab w:val="clear" w:pos="9072"/>
        <w:tab w:val="center" w:pos="3686"/>
        <w:tab w:val="right" w:pos="7371"/>
      </w:tabs>
      <w:jc w:val="left"/>
    </w:pPr>
    <w:rPr>
      <w:sz w:val="18"/>
    </w:rPr>
  </w:style>
  <w:style w:type="paragraph" w:customStyle="1" w:styleId="JuAppQuestion">
    <w:name w:val="Ju_App_Question"/>
    <w:basedOn w:val="Normale"/>
    <w:uiPriority w:val="5"/>
    <w:qFormat/>
    <w:rsid w:val="00AD5A90"/>
    <w:pPr>
      <w:numPr>
        <w:numId w:val="14"/>
      </w:numPr>
      <w:jc w:val="left"/>
    </w:pPr>
    <w:rPr>
      <w:b/>
    </w:rPr>
  </w:style>
  <w:style w:type="character" w:styleId="Enfasigrassetto">
    <w:name w:val="Strong"/>
    <w:uiPriority w:val="99"/>
    <w:semiHidden/>
    <w:qFormat/>
    <w:rsid w:val="00AD5A90"/>
    <w:rPr>
      <w:b/>
      <w:bCs/>
    </w:rPr>
  </w:style>
  <w:style w:type="paragraph" w:styleId="Nessunaspaziatura">
    <w:name w:val="No Spacing"/>
    <w:basedOn w:val="Normale"/>
    <w:link w:val="NessunaspaziaturaCarattere"/>
    <w:semiHidden/>
    <w:qFormat/>
    <w:rsid w:val="00AD5A90"/>
    <w:rPr>
      <w:sz w:val="22"/>
    </w:rPr>
  </w:style>
  <w:style w:type="character" w:customStyle="1" w:styleId="NessunaspaziaturaCarattere">
    <w:name w:val="Nessuna spaziatura Carattere"/>
    <w:basedOn w:val="Carpredefinitoparagrafo"/>
    <w:link w:val="Nessunaspaziatura"/>
    <w:semiHidden/>
    <w:rsid w:val="00AD5A90"/>
    <w:rPr>
      <w:rFonts w:eastAsiaTheme="minorEastAsia"/>
    </w:rPr>
  </w:style>
  <w:style w:type="paragraph" w:customStyle="1" w:styleId="OpiPara">
    <w:name w:val="Opi_Para"/>
    <w:basedOn w:val="ECHRPara"/>
    <w:uiPriority w:val="46"/>
    <w:semiHidden/>
    <w:qFormat/>
    <w:rsid w:val="00AD5A90"/>
  </w:style>
  <w:style w:type="paragraph" w:customStyle="1" w:styleId="ECHRParaQuote">
    <w:name w:val="ECHR_Para_Quote"/>
    <w:aliases w:val="Ju_Quot"/>
    <w:basedOn w:val="Normale"/>
    <w:uiPriority w:val="14"/>
    <w:qFormat/>
    <w:rsid w:val="00AD5A90"/>
    <w:pPr>
      <w:spacing w:before="120" w:after="120"/>
      <w:ind w:left="425" w:firstLine="142"/>
    </w:pPr>
    <w:rPr>
      <w:sz w:val="20"/>
    </w:rPr>
  </w:style>
  <w:style w:type="paragraph" w:customStyle="1" w:styleId="JuParaSub">
    <w:name w:val="Ju_Para_Sub"/>
    <w:basedOn w:val="ECHRPara"/>
    <w:uiPriority w:val="13"/>
    <w:qFormat/>
    <w:rsid w:val="00AD5A90"/>
    <w:pPr>
      <w:ind w:left="284"/>
    </w:pPr>
  </w:style>
  <w:style w:type="paragraph" w:customStyle="1" w:styleId="OpiParaSub">
    <w:name w:val="Opi_Para_Sub"/>
    <w:basedOn w:val="JuParaSub"/>
    <w:uiPriority w:val="47"/>
    <w:semiHidden/>
    <w:qFormat/>
    <w:rsid w:val="00AD5A90"/>
  </w:style>
  <w:style w:type="paragraph" w:customStyle="1" w:styleId="OpiQuot">
    <w:name w:val="Opi_Quot"/>
    <w:basedOn w:val="ECHRParaQuote"/>
    <w:uiPriority w:val="48"/>
    <w:semiHidden/>
    <w:qFormat/>
    <w:rsid w:val="00AD5A90"/>
  </w:style>
  <w:style w:type="paragraph" w:customStyle="1" w:styleId="OpiQuotSub">
    <w:name w:val="Opi_Quot_Sub"/>
    <w:basedOn w:val="JuQuotSub"/>
    <w:uiPriority w:val="49"/>
    <w:semiHidden/>
    <w:qFormat/>
    <w:rsid w:val="00AD5A90"/>
  </w:style>
  <w:style w:type="paragraph" w:customStyle="1" w:styleId="ECHRTitleCentre3">
    <w:name w:val="ECHR_Title_Centre_3"/>
    <w:aliases w:val="Ju_H_Article"/>
    <w:basedOn w:val="Normale"/>
    <w:next w:val="ECHRParaQuote"/>
    <w:uiPriority w:val="27"/>
    <w:qFormat/>
    <w:rsid w:val="00AD5A90"/>
    <w:pPr>
      <w:keepNext/>
      <w:keepLines/>
      <w:spacing w:before="240" w:after="120"/>
      <w:jc w:val="center"/>
      <w:outlineLvl w:val="3"/>
    </w:pPr>
    <w:rPr>
      <w:rFonts w:asciiTheme="majorHAnsi" w:hAnsiTheme="majorHAnsi"/>
      <w:b/>
      <w:sz w:val="20"/>
      <w:lang w:bidi="en-US"/>
    </w:rPr>
  </w:style>
  <w:style w:type="paragraph" w:customStyle="1" w:styleId="ECHRTitleCentre1">
    <w:name w:val="ECHR_Title_Centre_1"/>
    <w:aliases w:val="Opi_H_Head"/>
    <w:basedOn w:val="Normale"/>
    <w:next w:val="OpiPara"/>
    <w:uiPriority w:val="39"/>
    <w:semiHidden/>
    <w:qFormat/>
    <w:rsid w:val="00AD5A90"/>
    <w:pPr>
      <w:keepNext/>
      <w:keepLines/>
      <w:spacing w:after="240"/>
      <w:jc w:val="center"/>
      <w:outlineLvl w:val="0"/>
    </w:pPr>
    <w:rPr>
      <w:rFonts w:asciiTheme="majorHAnsi" w:hAnsiTheme="majorHAnsi"/>
      <w:sz w:val="28"/>
    </w:rPr>
  </w:style>
  <w:style w:type="paragraph" w:customStyle="1" w:styleId="JuTitle">
    <w:name w:val="Ju_Title"/>
    <w:basedOn w:val="Normale"/>
    <w:next w:val="ECHRPara"/>
    <w:uiPriority w:val="3"/>
    <w:qFormat/>
    <w:rsid w:val="00AD5A90"/>
    <w:pPr>
      <w:spacing w:before="720" w:after="240"/>
      <w:jc w:val="center"/>
      <w:outlineLvl w:val="0"/>
    </w:pPr>
    <w:rPr>
      <w:rFonts w:asciiTheme="majorHAnsi" w:hAnsiTheme="majorHAnsi"/>
      <w:b/>
      <w:caps/>
    </w:rPr>
  </w:style>
  <w:style w:type="paragraph" w:customStyle="1" w:styleId="ECHRTitle1">
    <w:name w:val="ECHR_Title_1"/>
    <w:aliases w:val="Ju_H_Head"/>
    <w:basedOn w:val="Normale"/>
    <w:next w:val="ECHRPara"/>
    <w:uiPriority w:val="18"/>
    <w:qFormat/>
    <w:rsid w:val="00AD5A90"/>
    <w:pPr>
      <w:keepNext/>
      <w:keepLines/>
      <w:spacing w:before="720" w:after="240"/>
      <w:outlineLvl w:val="0"/>
    </w:pPr>
    <w:rPr>
      <w:rFonts w:asciiTheme="majorHAnsi" w:hAnsiTheme="majorHAnsi"/>
      <w:sz w:val="28"/>
    </w:rPr>
  </w:style>
  <w:style w:type="paragraph" w:customStyle="1" w:styleId="JuCase">
    <w:name w:val="Ju_Case"/>
    <w:basedOn w:val="Normale"/>
    <w:next w:val="ECHRPara"/>
    <w:uiPriority w:val="10"/>
    <w:semiHidden/>
    <w:rsid w:val="00AD5A90"/>
    <w:pPr>
      <w:ind w:firstLine="284"/>
    </w:pPr>
    <w:rPr>
      <w:b/>
    </w:rPr>
  </w:style>
  <w:style w:type="paragraph" w:styleId="Titolo">
    <w:name w:val="Title"/>
    <w:basedOn w:val="Normale"/>
    <w:next w:val="Normale"/>
    <w:link w:val="TitoloCarattere"/>
    <w:uiPriority w:val="99"/>
    <w:semiHidden/>
    <w:qFormat/>
    <w:rsid w:val="00AD5A90"/>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AD5A90"/>
    <w:rPr>
      <w:rFonts w:asciiTheme="majorHAnsi" w:eastAsiaTheme="majorEastAsia" w:hAnsiTheme="majorHAnsi" w:cstheme="majorBidi"/>
      <w:spacing w:val="5"/>
      <w:sz w:val="52"/>
      <w:szCs w:val="52"/>
      <w:lang w:bidi="en-US"/>
    </w:rPr>
  </w:style>
  <w:style w:type="paragraph" w:customStyle="1" w:styleId="JuQuotSub">
    <w:name w:val="Ju_Quot_Sub"/>
    <w:basedOn w:val="ECHRParaQuote"/>
    <w:uiPriority w:val="15"/>
    <w:qFormat/>
    <w:rsid w:val="00AD5A90"/>
    <w:pPr>
      <w:ind w:left="567"/>
    </w:pPr>
  </w:style>
  <w:style w:type="paragraph" w:customStyle="1" w:styleId="JuInitialled">
    <w:name w:val="Ju_Initialled"/>
    <w:basedOn w:val="Normale"/>
    <w:uiPriority w:val="31"/>
    <w:qFormat/>
    <w:rsid w:val="00AD5A90"/>
    <w:pPr>
      <w:tabs>
        <w:tab w:val="center" w:pos="6407"/>
      </w:tabs>
      <w:spacing w:before="720"/>
      <w:jc w:val="right"/>
    </w:pPr>
  </w:style>
  <w:style w:type="paragraph" w:customStyle="1" w:styleId="OpiHA">
    <w:name w:val="Opi_H_A"/>
    <w:basedOn w:val="ECHRHeading1"/>
    <w:next w:val="OpiPara"/>
    <w:uiPriority w:val="41"/>
    <w:semiHidden/>
    <w:qFormat/>
    <w:rsid w:val="00AD5A90"/>
    <w:pPr>
      <w:tabs>
        <w:tab w:val="clear" w:pos="357"/>
      </w:tabs>
      <w:outlineLvl w:val="1"/>
    </w:pPr>
    <w:rPr>
      <w:b/>
    </w:rPr>
  </w:style>
  <w:style w:type="character" w:customStyle="1" w:styleId="JUNAMES">
    <w:name w:val="JU_NAMES"/>
    <w:uiPriority w:val="17"/>
    <w:qFormat/>
    <w:rsid w:val="00AD5A90"/>
    <w:rPr>
      <w:caps w:val="0"/>
      <w:smallCaps/>
    </w:rPr>
  </w:style>
  <w:style w:type="character" w:customStyle="1" w:styleId="JuITMark">
    <w:name w:val="Ju_ITMark"/>
    <w:basedOn w:val="Carpredefinitoparagrafo"/>
    <w:uiPriority w:val="38"/>
    <w:qFormat/>
    <w:rsid w:val="00AD5A90"/>
    <w:rPr>
      <w:vanish w:val="0"/>
      <w:color w:val="auto"/>
      <w:sz w:val="14"/>
    </w:rPr>
  </w:style>
  <w:style w:type="paragraph" w:customStyle="1" w:styleId="ECHRHeading1">
    <w:name w:val="ECHR_Heading_1"/>
    <w:aliases w:val="Ju_H_I_Roman"/>
    <w:basedOn w:val="Titolo1"/>
    <w:next w:val="ECHRPara"/>
    <w:uiPriority w:val="19"/>
    <w:qFormat/>
    <w:rsid w:val="00AD5A90"/>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Titolo2"/>
    <w:next w:val="ECHRPara"/>
    <w:uiPriority w:val="20"/>
    <w:qFormat/>
    <w:rsid w:val="00AD5A90"/>
    <w:pPr>
      <w:keepNext/>
      <w:keepLines/>
      <w:tabs>
        <w:tab w:val="left" w:pos="584"/>
      </w:tabs>
      <w:spacing w:before="360" w:after="240"/>
      <w:ind w:left="584" w:hanging="352"/>
    </w:pPr>
    <w:rPr>
      <w:color w:val="auto"/>
      <w:sz w:val="24"/>
    </w:rPr>
  </w:style>
  <w:style w:type="paragraph" w:customStyle="1" w:styleId="ECHRHeading3">
    <w:name w:val="ECHR_Heading_3"/>
    <w:aliases w:val="Ju_H_1."/>
    <w:basedOn w:val="Titolo3"/>
    <w:next w:val="ECHRPara"/>
    <w:uiPriority w:val="21"/>
    <w:qFormat/>
    <w:rsid w:val="00AD5A90"/>
    <w:pPr>
      <w:keepNext/>
      <w:keepLines/>
      <w:tabs>
        <w:tab w:val="left" w:pos="731"/>
      </w:tabs>
      <w:spacing w:before="240" w:after="120" w:line="240" w:lineRule="auto"/>
      <w:ind w:left="732" w:hanging="301"/>
    </w:pPr>
    <w:rPr>
      <w:b w:val="0"/>
      <w:i/>
      <w:color w:val="auto"/>
    </w:rPr>
  </w:style>
  <w:style w:type="paragraph" w:styleId="Intestazione">
    <w:name w:val="header"/>
    <w:basedOn w:val="Normale"/>
    <w:link w:val="IntestazioneCarattere"/>
    <w:uiPriority w:val="57"/>
    <w:semiHidden/>
    <w:rsid w:val="00AD5A90"/>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AD5A90"/>
    <w:rPr>
      <w:sz w:val="24"/>
    </w:rPr>
  </w:style>
  <w:style w:type="character" w:customStyle="1" w:styleId="Titolo1Carattere">
    <w:name w:val="Titolo 1 Carattere"/>
    <w:basedOn w:val="Carpredefinitoparagrafo"/>
    <w:link w:val="Titolo1"/>
    <w:uiPriority w:val="99"/>
    <w:semiHidden/>
    <w:rsid w:val="00AD5A90"/>
    <w:rPr>
      <w:rFonts w:asciiTheme="majorHAnsi" w:eastAsiaTheme="majorEastAsia" w:hAnsiTheme="majorHAnsi" w:cstheme="majorBidi"/>
      <w:b/>
      <w:bCs/>
      <w:color w:val="333333"/>
      <w:sz w:val="28"/>
      <w:szCs w:val="28"/>
    </w:rPr>
  </w:style>
  <w:style w:type="paragraph" w:customStyle="1" w:styleId="ECHRHeading4">
    <w:name w:val="ECHR_Heading_4"/>
    <w:aliases w:val="Ju_H_a"/>
    <w:basedOn w:val="Titolo4"/>
    <w:next w:val="ECHRPara"/>
    <w:uiPriority w:val="22"/>
    <w:qFormat/>
    <w:rsid w:val="00AD5A90"/>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Titolo5"/>
    <w:next w:val="ECHRPara"/>
    <w:uiPriority w:val="23"/>
    <w:qFormat/>
    <w:rsid w:val="00AD5A90"/>
    <w:pPr>
      <w:keepNext/>
      <w:keepLines/>
      <w:tabs>
        <w:tab w:val="left" w:pos="1191"/>
      </w:tabs>
      <w:spacing w:before="240" w:after="120"/>
      <w:ind w:left="1190" w:hanging="357"/>
    </w:pPr>
    <w:rPr>
      <w:b w:val="0"/>
      <w:i/>
      <w:color w:val="auto"/>
      <w:sz w:val="20"/>
    </w:rPr>
  </w:style>
  <w:style w:type="character" w:customStyle="1" w:styleId="Titolo2Carattere">
    <w:name w:val="Titolo 2 Carattere"/>
    <w:basedOn w:val="Carpredefinitoparagrafo"/>
    <w:link w:val="Titolo2"/>
    <w:uiPriority w:val="99"/>
    <w:semiHidden/>
    <w:rsid w:val="00AD5A90"/>
    <w:rPr>
      <w:rFonts w:asciiTheme="majorHAnsi" w:eastAsiaTheme="majorEastAsia" w:hAnsiTheme="majorHAnsi" w:cstheme="majorBidi"/>
      <w:b/>
      <w:bCs/>
      <w:color w:val="4D4D4D"/>
      <w:sz w:val="26"/>
      <w:szCs w:val="26"/>
    </w:rPr>
  </w:style>
  <w:style w:type="paragraph" w:customStyle="1" w:styleId="ECHRHeading6">
    <w:name w:val="ECHR_Heading_6"/>
    <w:aliases w:val="Ju_H_alpha"/>
    <w:basedOn w:val="Titolo6"/>
    <w:next w:val="ECHRPara"/>
    <w:uiPriority w:val="24"/>
    <w:qFormat/>
    <w:rsid w:val="00AD5A90"/>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Titolo7"/>
    <w:next w:val="ECHRPara"/>
    <w:uiPriority w:val="25"/>
    <w:qFormat/>
    <w:rsid w:val="00AD5A90"/>
    <w:pPr>
      <w:keepNext/>
      <w:keepLines/>
      <w:spacing w:before="240" w:after="120"/>
      <w:ind w:left="1236"/>
    </w:pPr>
    <w:rPr>
      <w:sz w:val="20"/>
    </w:rPr>
  </w:style>
  <w:style w:type="character" w:customStyle="1" w:styleId="Titolo3Carattere">
    <w:name w:val="Titolo 3 Carattere"/>
    <w:basedOn w:val="Carpredefinitoparagrafo"/>
    <w:link w:val="Titolo3"/>
    <w:uiPriority w:val="99"/>
    <w:semiHidden/>
    <w:rsid w:val="00AD5A90"/>
    <w:rPr>
      <w:rFonts w:asciiTheme="majorHAnsi" w:eastAsiaTheme="majorEastAsia" w:hAnsiTheme="majorHAnsi" w:cstheme="majorBidi"/>
      <w:b/>
      <w:bCs/>
      <w:color w:val="5F5F5F"/>
      <w:sz w:val="24"/>
    </w:rPr>
  </w:style>
  <w:style w:type="paragraph" w:customStyle="1" w:styleId="JuParaLast">
    <w:name w:val="Ju_Para_Last"/>
    <w:basedOn w:val="Normale"/>
    <w:next w:val="ECHRPara"/>
    <w:uiPriority w:val="30"/>
    <w:qFormat/>
    <w:rsid w:val="00AD5A90"/>
    <w:pPr>
      <w:keepNext/>
      <w:keepLines/>
      <w:spacing w:before="240"/>
      <w:ind w:firstLine="284"/>
    </w:pPr>
  </w:style>
  <w:style w:type="paragraph" w:customStyle="1" w:styleId="DecList">
    <w:name w:val="Dec_List"/>
    <w:basedOn w:val="Normale"/>
    <w:uiPriority w:val="9"/>
    <w:qFormat/>
    <w:rsid w:val="00AD5A90"/>
    <w:pPr>
      <w:spacing w:before="240"/>
      <w:ind w:left="284"/>
    </w:pPr>
  </w:style>
  <w:style w:type="character" w:customStyle="1" w:styleId="Titolo4Carattere">
    <w:name w:val="Titolo 4 Carattere"/>
    <w:basedOn w:val="Carpredefinitoparagrafo"/>
    <w:link w:val="Titolo4"/>
    <w:uiPriority w:val="99"/>
    <w:semiHidden/>
    <w:rsid w:val="00AD5A90"/>
    <w:rPr>
      <w:rFonts w:asciiTheme="majorHAnsi" w:eastAsiaTheme="majorEastAsia" w:hAnsiTheme="majorHAnsi" w:cstheme="majorBidi"/>
      <w:b/>
      <w:bCs/>
      <w:i/>
      <w:iCs/>
      <w:color w:val="777777"/>
      <w:sz w:val="24"/>
    </w:rPr>
  </w:style>
  <w:style w:type="paragraph" w:customStyle="1" w:styleId="ECHRDecisionBody">
    <w:name w:val="ECHR_Decision_Body"/>
    <w:aliases w:val="Ju_Judges"/>
    <w:basedOn w:val="Normale"/>
    <w:uiPriority w:val="11"/>
    <w:qFormat/>
    <w:rsid w:val="00AD5A90"/>
    <w:pPr>
      <w:tabs>
        <w:tab w:val="left" w:pos="567"/>
        <w:tab w:val="left" w:pos="1134"/>
      </w:tabs>
      <w:jc w:val="left"/>
    </w:pPr>
  </w:style>
  <w:style w:type="character" w:customStyle="1" w:styleId="Titolo5Carattere">
    <w:name w:val="Titolo 5 Carattere"/>
    <w:basedOn w:val="Carpredefinitoparagrafo"/>
    <w:link w:val="Titolo5"/>
    <w:uiPriority w:val="99"/>
    <w:semiHidden/>
    <w:rsid w:val="00AD5A90"/>
    <w:rPr>
      <w:rFonts w:asciiTheme="majorHAnsi" w:eastAsiaTheme="majorEastAsia" w:hAnsiTheme="majorHAnsi" w:cstheme="majorBidi"/>
      <w:b/>
      <w:bCs/>
      <w:color w:val="808080"/>
    </w:rPr>
  </w:style>
  <w:style w:type="paragraph" w:customStyle="1" w:styleId="OpiTranslation">
    <w:name w:val="Opi_Translation"/>
    <w:basedOn w:val="Normale"/>
    <w:next w:val="OpiPara"/>
    <w:uiPriority w:val="40"/>
    <w:semiHidden/>
    <w:qFormat/>
    <w:rsid w:val="00AD5A90"/>
    <w:pPr>
      <w:jc w:val="center"/>
      <w:outlineLvl w:val="0"/>
    </w:pPr>
    <w:rPr>
      <w:i/>
    </w:rPr>
  </w:style>
  <w:style w:type="paragraph" w:customStyle="1" w:styleId="JuCourt">
    <w:name w:val="Ju_Court"/>
    <w:basedOn w:val="Normale"/>
    <w:next w:val="Normale"/>
    <w:uiPriority w:val="16"/>
    <w:qFormat/>
    <w:rsid w:val="00AD5A90"/>
    <w:pPr>
      <w:tabs>
        <w:tab w:val="left" w:pos="907"/>
        <w:tab w:val="left" w:pos="1701"/>
        <w:tab w:val="right" w:pos="7371"/>
      </w:tabs>
      <w:spacing w:before="240"/>
      <w:ind w:left="397" w:hanging="397"/>
      <w:jc w:val="left"/>
    </w:pPr>
    <w:rPr>
      <w:lang w:bidi="en-US"/>
    </w:rPr>
  </w:style>
  <w:style w:type="character" w:styleId="Enfasidelicata">
    <w:name w:val="Subtle Emphasis"/>
    <w:uiPriority w:val="99"/>
    <w:semiHidden/>
    <w:qFormat/>
    <w:rsid w:val="00AD5A90"/>
    <w:rPr>
      <w:i/>
      <w:iCs/>
    </w:rPr>
  </w:style>
  <w:style w:type="paragraph" w:customStyle="1" w:styleId="JuList">
    <w:name w:val="Ju_List"/>
    <w:basedOn w:val="Normale"/>
    <w:uiPriority w:val="28"/>
    <w:qFormat/>
    <w:rsid w:val="00AD5A90"/>
    <w:pPr>
      <w:ind w:left="340" w:hanging="340"/>
    </w:p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a">
    <w:name w:val="Ju_List_a"/>
    <w:basedOn w:val="JuList"/>
    <w:uiPriority w:val="28"/>
    <w:qFormat/>
    <w:rsid w:val="00AD5A90"/>
    <w:pPr>
      <w:ind w:left="346" w:firstLine="0"/>
    </w:pPr>
  </w:style>
  <w:style w:type="paragraph" w:customStyle="1" w:styleId="JuListi">
    <w:name w:val="Ju_List_i"/>
    <w:basedOn w:val="Normale"/>
    <w:next w:val="JuLista"/>
    <w:uiPriority w:val="28"/>
    <w:qFormat/>
    <w:rsid w:val="00AD5A90"/>
    <w:pPr>
      <w:ind w:left="794"/>
    </w:pPr>
  </w:style>
  <w:style w:type="paragraph" w:customStyle="1" w:styleId="ECHRTitleCentre2">
    <w:name w:val="ECHR_Title_Centre_2"/>
    <w:aliases w:val="Dec_H_Case"/>
    <w:basedOn w:val="Normale"/>
    <w:next w:val="ECHRPara"/>
    <w:uiPriority w:val="8"/>
    <w:qFormat/>
    <w:rsid w:val="00AD5A90"/>
    <w:pPr>
      <w:spacing w:after="240"/>
      <w:jc w:val="center"/>
      <w:outlineLvl w:val="0"/>
    </w:pPr>
    <w:rPr>
      <w:rFonts w:asciiTheme="majorHAnsi" w:hAnsiTheme="majorHAnsi"/>
    </w:rPr>
  </w:style>
  <w:style w:type="character" w:styleId="Enfasicorsivo">
    <w:name w:val="Emphasis"/>
    <w:uiPriority w:val="99"/>
    <w:semiHidden/>
    <w:qFormat/>
    <w:rsid w:val="00AD5A90"/>
    <w:rPr>
      <w:b/>
      <w:bCs/>
      <w:i/>
      <w:iCs/>
      <w:spacing w:val="10"/>
      <w:bdr w:val="none" w:sz="0" w:space="0" w:color="auto"/>
      <w:shd w:val="clear" w:color="auto" w:fill="auto"/>
    </w:rPr>
  </w:style>
  <w:style w:type="paragraph" w:styleId="Pidipagina">
    <w:name w:val="footer"/>
    <w:basedOn w:val="Normale"/>
    <w:link w:val="PidipaginaCarattere"/>
    <w:uiPriority w:val="57"/>
    <w:semiHidden/>
    <w:rsid w:val="00AD5A90"/>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AD5A90"/>
    <w:rPr>
      <w:sz w:val="24"/>
    </w:rPr>
  </w:style>
  <w:style w:type="character" w:styleId="Rimandonotaapidipagina">
    <w:name w:val="footnote reference"/>
    <w:basedOn w:val="Carpredefinitoparagrafo"/>
    <w:uiPriority w:val="99"/>
    <w:semiHidden/>
    <w:rsid w:val="00AD5A90"/>
    <w:rPr>
      <w:vertAlign w:val="superscript"/>
    </w:rPr>
  </w:style>
  <w:style w:type="paragraph" w:styleId="Testonotaapidipagina">
    <w:name w:val="footnote text"/>
    <w:basedOn w:val="Normale"/>
    <w:link w:val="TestonotaapidipaginaCarattere"/>
    <w:uiPriority w:val="99"/>
    <w:semiHidden/>
    <w:rsid w:val="00AD5A90"/>
    <w:rPr>
      <w:sz w:val="20"/>
      <w:szCs w:val="20"/>
    </w:rPr>
  </w:style>
  <w:style w:type="character" w:customStyle="1" w:styleId="TestonotaapidipaginaCarattere">
    <w:name w:val="Testo nota a piè di pagina Carattere"/>
    <w:basedOn w:val="Carpredefinitoparagrafo"/>
    <w:link w:val="Testonotaapidipagina"/>
    <w:uiPriority w:val="99"/>
    <w:semiHidden/>
    <w:rsid w:val="00AD5A90"/>
    <w:rPr>
      <w:rFonts w:eastAsiaTheme="minorEastAsia"/>
      <w:sz w:val="20"/>
      <w:szCs w:val="20"/>
    </w:rPr>
  </w:style>
  <w:style w:type="character" w:customStyle="1" w:styleId="Titolo6Carattere">
    <w:name w:val="Titolo 6 Carattere"/>
    <w:basedOn w:val="Carpredefinitoparagrafo"/>
    <w:link w:val="Titolo6"/>
    <w:uiPriority w:val="99"/>
    <w:semiHidden/>
    <w:rsid w:val="00AD5A90"/>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AD5A90"/>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AD5A90"/>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AD5A90"/>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AD5A90"/>
    <w:rPr>
      <w:color w:val="0072BC" w:themeColor="hyperlink"/>
      <w:u w:val="single"/>
    </w:rPr>
  </w:style>
  <w:style w:type="character" w:styleId="Enfasiintensa">
    <w:name w:val="Intense Emphasis"/>
    <w:uiPriority w:val="99"/>
    <w:semiHidden/>
    <w:qFormat/>
    <w:rsid w:val="00AD5A90"/>
    <w:rPr>
      <w:b/>
      <w:bCs/>
    </w:rPr>
  </w:style>
  <w:style w:type="paragraph" w:styleId="Citazioneintensa">
    <w:name w:val="Intense Quote"/>
    <w:basedOn w:val="Normale"/>
    <w:next w:val="Normale"/>
    <w:link w:val="CitazioneintensaCarattere"/>
    <w:uiPriority w:val="99"/>
    <w:semiHidden/>
    <w:qFormat/>
    <w:rsid w:val="00AD5A90"/>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AD5A90"/>
    <w:rPr>
      <w:rFonts w:eastAsiaTheme="minorEastAsia"/>
      <w:b/>
      <w:bCs/>
      <w:i/>
      <w:iCs/>
      <w:lang w:bidi="en-US"/>
    </w:rPr>
  </w:style>
  <w:style w:type="character" w:styleId="Riferimentointenso">
    <w:name w:val="Intense Reference"/>
    <w:uiPriority w:val="99"/>
    <w:semiHidden/>
    <w:qFormat/>
    <w:rsid w:val="00AD5A90"/>
    <w:rPr>
      <w:smallCaps/>
      <w:spacing w:val="5"/>
      <w:u w:val="single"/>
    </w:rPr>
  </w:style>
  <w:style w:type="paragraph" w:styleId="Paragrafoelenco">
    <w:name w:val="List Paragraph"/>
    <w:basedOn w:val="Normale"/>
    <w:uiPriority w:val="99"/>
    <w:semiHidden/>
    <w:qFormat/>
    <w:rsid w:val="00AD5A90"/>
    <w:pPr>
      <w:ind w:left="720"/>
      <w:contextualSpacing/>
    </w:p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AD5A90"/>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AD5A90"/>
    <w:rPr>
      <w:rFonts w:eastAsiaTheme="minorEastAsia"/>
      <w:i/>
      <w:iCs/>
      <w:lang w:bidi="en-US"/>
    </w:rPr>
  </w:style>
  <w:style w:type="character" w:styleId="Riferimentodelicato">
    <w:name w:val="Subtle Reference"/>
    <w:uiPriority w:val="99"/>
    <w:semiHidden/>
    <w:qFormat/>
    <w:rsid w:val="00AD5A90"/>
    <w:rPr>
      <w:smallCaps/>
    </w:rPr>
  </w:style>
  <w:style w:type="table" w:styleId="Grigliatabella">
    <w:name w:val="Table Grid"/>
    <w:basedOn w:val="Tabellanormale"/>
    <w:uiPriority w:val="59"/>
    <w:semiHidden/>
    <w:rsid w:val="00AD5A90"/>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AD5A90"/>
    <w:pPr>
      <w:spacing w:before="120" w:after="60"/>
      <w:ind w:left="340" w:right="340" w:hanging="340"/>
    </w:pPr>
    <w:rPr>
      <w:color w:val="0D0D0D" w:themeColor="text1" w:themeTint="F2"/>
    </w:rPr>
  </w:style>
  <w:style w:type="paragraph" w:styleId="Sommario2">
    <w:name w:val="toc 2"/>
    <w:basedOn w:val="Normale"/>
    <w:next w:val="Normale"/>
    <w:autoRedefine/>
    <w:uiPriority w:val="99"/>
    <w:semiHidden/>
    <w:rsid w:val="00AD5A90"/>
    <w:pPr>
      <w:spacing w:after="60"/>
      <w:ind w:left="680" w:right="340" w:hanging="340"/>
    </w:pPr>
  </w:style>
  <w:style w:type="paragraph" w:styleId="Sommario3">
    <w:name w:val="toc 3"/>
    <w:basedOn w:val="Normale"/>
    <w:next w:val="Normale"/>
    <w:autoRedefine/>
    <w:uiPriority w:val="99"/>
    <w:semiHidden/>
    <w:rsid w:val="00AD5A90"/>
    <w:pPr>
      <w:spacing w:after="60"/>
      <w:ind w:left="1020" w:right="340" w:hanging="340"/>
    </w:pPr>
  </w:style>
  <w:style w:type="paragraph" w:styleId="Sommario4">
    <w:name w:val="toc 4"/>
    <w:basedOn w:val="Normale"/>
    <w:next w:val="Normale"/>
    <w:autoRedefine/>
    <w:uiPriority w:val="99"/>
    <w:semiHidden/>
    <w:rsid w:val="00AD5A90"/>
    <w:pPr>
      <w:tabs>
        <w:tab w:val="right" w:leader="dot" w:pos="9017"/>
      </w:tabs>
      <w:spacing w:after="60"/>
      <w:ind w:left="1361" w:right="340" w:hanging="340"/>
    </w:pPr>
  </w:style>
  <w:style w:type="paragraph" w:styleId="Sommario5">
    <w:name w:val="toc 5"/>
    <w:basedOn w:val="Normale"/>
    <w:next w:val="Normale"/>
    <w:autoRedefine/>
    <w:uiPriority w:val="99"/>
    <w:semiHidden/>
    <w:rsid w:val="00AD5A90"/>
    <w:pPr>
      <w:spacing w:after="60"/>
      <w:ind w:left="1701" w:right="340" w:hanging="340"/>
    </w:pPr>
  </w:style>
  <w:style w:type="paragraph" w:styleId="Titolosommario">
    <w:name w:val="TOC Heading"/>
    <w:basedOn w:val="Titolo1"/>
    <w:next w:val="Normale"/>
    <w:uiPriority w:val="99"/>
    <w:semiHidden/>
    <w:qFormat/>
    <w:rsid w:val="00AD5A90"/>
    <w:pPr>
      <w:outlineLvl w:val="9"/>
    </w:pPr>
    <w:rPr>
      <w:color w:val="474747" w:themeColor="accent3" w:themeShade="BF"/>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AD5A90"/>
    <w:pPr>
      <w:spacing w:before="120"/>
    </w:pPr>
    <w:rPr>
      <w:rFonts w:asciiTheme="majorHAnsi" w:eastAsiaTheme="majorEastAsia" w:hAnsiTheme="majorHAnsi" w:cstheme="majorBidi"/>
      <w:b/>
      <w:bCs/>
      <w:color w:val="474747" w:themeColor="accent3" w:themeShade="BF"/>
      <w:szCs w:val="24"/>
    </w:rPr>
  </w:style>
  <w:style w:type="paragraph" w:customStyle="1" w:styleId="OpiH1">
    <w:name w:val="Opi_H_1"/>
    <w:basedOn w:val="ECHRHeading2"/>
    <w:uiPriority w:val="42"/>
    <w:semiHidden/>
    <w:qFormat/>
    <w:rsid w:val="00AD5A90"/>
    <w:pPr>
      <w:ind w:left="635" w:hanging="357"/>
      <w:outlineLvl w:val="2"/>
    </w:pPr>
  </w:style>
  <w:style w:type="paragraph" w:customStyle="1" w:styleId="OpiHa0">
    <w:name w:val="Opi_H_a"/>
    <w:basedOn w:val="ECHRHeading3"/>
    <w:uiPriority w:val="43"/>
    <w:semiHidden/>
    <w:qFormat/>
    <w:rsid w:val="00AD5A90"/>
    <w:pPr>
      <w:ind w:left="833" w:hanging="357"/>
      <w:outlineLvl w:val="3"/>
    </w:pPr>
    <w:rPr>
      <w:b/>
      <w:i w:val="0"/>
      <w:sz w:val="20"/>
    </w:rPr>
  </w:style>
  <w:style w:type="paragraph" w:styleId="Sottotitolo">
    <w:name w:val="Subtitle"/>
    <w:basedOn w:val="Normale"/>
    <w:next w:val="Normale"/>
    <w:link w:val="SottotitoloCarattere"/>
    <w:uiPriority w:val="99"/>
    <w:semiHidden/>
    <w:qFormat/>
    <w:rsid w:val="00AD5A90"/>
    <w:pPr>
      <w:spacing w:after="600"/>
    </w:pPr>
    <w:rPr>
      <w:rFonts w:asciiTheme="majorHAnsi" w:eastAsiaTheme="majorEastAsia" w:hAnsiTheme="majorHAnsi" w:cstheme="majorBidi"/>
      <w:i/>
      <w:iCs/>
      <w:spacing w:val="13"/>
      <w:szCs w:val="24"/>
      <w:lang w:bidi="en-US"/>
    </w:rPr>
  </w:style>
  <w:style w:type="paragraph" w:customStyle="1" w:styleId="ECHRPara">
    <w:name w:val="ECHR_Para"/>
    <w:aliases w:val="Ju_Para"/>
    <w:basedOn w:val="Normale"/>
    <w:link w:val="ECHRParaChar"/>
    <w:uiPriority w:val="12"/>
    <w:qFormat/>
    <w:rsid w:val="00AD5A90"/>
    <w:pPr>
      <w:ind w:firstLine="284"/>
    </w:pPr>
  </w:style>
  <w:style w:type="character" w:customStyle="1" w:styleId="SottotitoloCarattere">
    <w:name w:val="Sottotitolo Carattere"/>
    <w:basedOn w:val="Carpredefinitoparagrafo"/>
    <w:link w:val="Sottotitolo"/>
    <w:uiPriority w:val="99"/>
    <w:semiHidden/>
    <w:rsid w:val="00AD5A90"/>
    <w:rPr>
      <w:rFonts w:asciiTheme="majorHAnsi" w:eastAsiaTheme="majorEastAsia" w:hAnsiTheme="majorHAnsi" w:cstheme="majorBidi"/>
      <w:i/>
      <w:iCs/>
      <w:spacing w:val="13"/>
      <w:sz w:val="24"/>
      <w:szCs w:val="24"/>
      <w:lang w:bidi="en-US"/>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111111">
    <w:name w:val="Outline List 2"/>
    <w:basedOn w:val="Nessunelenco"/>
    <w:uiPriority w:val="99"/>
    <w:semiHidden/>
    <w:unhideWhenUsed/>
    <w:rsid w:val="006544C4"/>
    <w:pPr>
      <w:numPr>
        <w:numId w:val="3"/>
      </w:numPr>
    </w:p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AD5A90"/>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ai">
    <w:name w:val="Outline List 1"/>
    <w:basedOn w:val="Nessunelenco"/>
    <w:semiHidden/>
    <w:unhideWhenUsed/>
    <w:rsid w:val="006544C4"/>
    <w:pPr>
      <w:numPr>
        <w:numId w:val="4"/>
      </w:numPr>
    </w:pPr>
  </w:style>
  <w:style w:type="numbering" w:styleId="ArticoloSezione">
    <w:name w:val="Outline List 3"/>
    <w:basedOn w:val="Nessunelenco"/>
    <w:uiPriority w:val="99"/>
    <w:semiHidden/>
    <w:unhideWhenUsed/>
    <w:rsid w:val="006544C4"/>
    <w:pPr>
      <w:numPr>
        <w:numId w:val="5"/>
      </w:numPr>
    </w:p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ibliografia">
    <w:name w:val="Bibliography"/>
    <w:basedOn w:val="Normale"/>
    <w:next w:val="Normale"/>
    <w:uiPriority w:val="99"/>
    <w:semiHidden/>
    <w:rsid w:val="006544C4"/>
  </w:style>
  <w:style w:type="paragraph" w:styleId="Testodelblocco">
    <w:name w:val="Block Text"/>
    <w:basedOn w:val="Normale"/>
    <w:uiPriority w:val="99"/>
    <w:semiHidden/>
    <w:rsid w:val="006544C4"/>
    <w:pPr>
      <w:pBdr>
        <w:top w:val="single" w:sz="2" w:space="10" w:color="0072BC" w:themeColor="accent1" w:shadow="1"/>
        <w:left w:val="single" w:sz="2" w:space="10" w:color="0072BC" w:themeColor="accent1" w:shadow="1"/>
        <w:bottom w:val="single" w:sz="2" w:space="10" w:color="0072BC" w:themeColor="accent1" w:shadow="1"/>
        <w:right w:val="single" w:sz="2" w:space="10" w:color="0072BC" w:themeColor="accent1" w:shadow="1"/>
      </w:pBdr>
      <w:ind w:left="1152" w:right="1152"/>
    </w:pPr>
    <w:rPr>
      <w:i/>
      <w:iCs/>
      <w:color w:val="0072BC" w:themeColor="accent1"/>
    </w:r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Corpotesto">
    <w:name w:val="Body Text"/>
    <w:basedOn w:val="Normale"/>
    <w:link w:val="CorpotestoCarattere"/>
    <w:semiHidden/>
    <w:rsid w:val="006544C4"/>
    <w:pPr>
      <w:spacing w:after="120"/>
    </w:p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basedOn w:val="Carpredefinitoparagrafo"/>
    <w:uiPriority w:val="99"/>
    <w:semiHidden/>
    <w:rsid w:val="006544C4"/>
    <w:rPr>
      <w:rFonts w:ascii="Times New Roman" w:hAnsi="Times New Roman" w:cs="Times New Roman"/>
      <w:sz w:val="18"/>
    </w:rPr>
  </w:style>
  <w:style w:type="character" w:styleId="Rimandocommento">
    <w:name w:val="annotation reference"/>
    <w:basedOn w:val="Carpredefinitoparagrafo"/>
    <w:uiPriority w:val="99"/>
    <w:semiHidden/>
    <w:rsid w:val="006544C4"/>
    <w:rPr>
      <w:sz w:val="16"/>
    </w:rPr>
  </w:style>
  <w:style w:type="paragraph" w:styleId="Testocommento">
    <w:name w:val="annotation text"/>
    <w:basedOn w:val="Normale"/>
    <w:link w:val="TestocommentoCarattere"/>
    <w:semiHidden/>
    <w:rsid w:val="006544C4"/>
    <w:rPr>
      <w:sz w:val="20"/>
    </w:rPr>
  </w:style>
  <w:style w:type="character" w:customStyle="1" w:styleId="TestocommentoCarattere">
    <w:name w:val="Testo commento Carattere"/>
    <w:basedOn w:val="Carpredefinitoparagrafo"/>
    <w:link w:val="Testocommento"/>
    <w:semiHidden/>
    <w:rsid w:val="006544C4"/>
    <w:rPr>
      <w:rFonts w:eastAsiaTheme="minorEastAsia"/>
      <w:sz w:val="20"/>
    </w:rPr>
  </w:style>
  <w:style w:type="paragraph" w:customStyle="1" w:styleId="JuSigned">
    <w:name w:val="Ju_Signed"/>
    <w:basedOn w:val="Normale"/>
    <w:next w:val="JuParaLast"/>
    <w:uiPriority w:val="32"/>
    <w:qFormat/>
    <w:rsid w:val="00AD5A90"/>
    <w:pPr>
      <w:tabs>
        <w:tab w:val="center" w:pos="851"/>
        <w:tab w:val="center" w:pos="6407"/>
      </w:tabs>
      <w:spacing w:before="720"/>
      <w:jc w:val="left"/>
    </w:pPr>
  </w:style>
  <w:style w:type="paragraph" w:customStyle="1" w:styleId="OpiHi">
    <w:name w:val="Opi_H_i"/>
    <w:basedOn w:val="ECHRHeading4"/>
    <w:uiPriority w:val="44"/>
    <w:semiHidden/>
    <w:qFormat/>
    <w:rsid w:val="00AD5A90"/>
    <w:pPr>
      <w:ind w:left="1037" w:hanging="357"/>
      <w:outlineLvl w:val="4"/>
    </w:pPr>
    <w:rPr>
      <w:b w:val="0"/>
      <w:i/>
    </w:rPr>
  </w:style>
  <w:style w:type="paragraph" w:customStyle="1" w:styleId="DecHTitle">
    <w:name w:val="Dec_H_Title"/>
    <w:basedOn w:val="ECHRTitleCentre1"/>
    <w:uiPriority w:val="7"/>
    <w:qFormat/>
    <w:rsid w:val="00AD5A90"/>
  </w:style>
  <w:style w:type="paragraph" w:styleId="Puntoelenco2">
    <w:name w:val="List Bullet 2"/>
    <w:basedOn w:val="Normale"/>
    <w:uiPriority w:val="99"/>
    <w:semiHidden/>
    <w:rsid w:val="006544C4"/>
    <w:pPr>
      <w:numPr>
        <w:numId w:val="1"/>
      </w:numPr>
      <w:contextualSpacing/>
    </w:pPr>
  </w:style>
  <w:style w:type="paragraph" w:styleId="Puntoelenco3">
    <w:name w:val="List Bullet 3"/>
    <w:basedOn w:val="Normale"/>
    <w:semiHidden/>
    <w:rsid w:val="006544C4"/>
    <w:pPr>
      <w:numPr>
        <w:numId w:val="2"/>
      </w:numPr>
      <w:contextualSpacing/>
    </w:pPr>
  </w:style>
  <w:style w:type="character" w:customStyle="1" w:styleId="CorpotestoCarattere">
    <w:name w:val="Corpo testo Carattere"/>
    <w:basedOn w:val="Carpredefinitoparagrafo"/>
    <w:link w:val="Corpotesto"/>
    <w:semiHidden/>
    <w:rsid w:val="006544C4"/>
    <w:rPr>
      <w:rFonts w:eastAsiaTheme="minorEastAsia"/>
      <w:sz w:val="24"/>
    </w:rPr>
  </w:style>
  <w:style w:type="paragraph" w:styleId="Corpodeltesto2">
    <w:name w:val="Body Text 2"/>
    <w:basedOn w:val="Normale"/>
    <w:link w:val="Corpodeltesto2Carattere"/>
    <w:uiPriority w:val="99"/>
    <w:semiHidden/>
    <w:rsid w:val="006544C4"/>
    <w:pPr>
      <w:spacing w:after="120" w:line="480" w:lineRule="auto"/>
    </w:pPr>
  </w:style>
  <w:style w:type="character" w:customStyle="1" w:styleId="Corpodeltesto2Carattere">
    <w:name w:val="Corpo del testo 2 Carattere"/>
    <w:basedOn w:val="Carpredefinitoparagrafo"/>
    <w:link w:val="Corpodeltesto2"/>
    <w:uiPriority w:val="99"/>
    <w:semiHidden/>
    <w:rsid w:val="006544C4"/>
    <w:rPr>
      <w:rFonts w:eastAsiaTheme="minorEastAsia"/>
      <w:sz w:val="24"/>
    </w:rPr>
  </w:style>
  <w:style w:type="paragraph" w:styleId="Corpodeltesto3">
    <w:name w:val="Body Text 3"/>
    <w:basedOn w:val="Normale"/>
    <w:link w:val="Corpodeltesto3Carattere"/>
    <w:uiPriority w:val="99"/>
    <w:semiHidden/>
    <w:rsid w:val="006544C4"/>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6544C4"/>
    <w:rPr>
      <w:rFonts w:eastAsiaTheme="minorEastAsia"/>
      <w:sz w:val="16"/>
      <w:szCs w:val="16"/>
    </w:rPr>
  </w:style>
  <w:style w:type="paragraph" w:styleId="Primorientrocorpodeltesto">
    <w:name w:val="Body Text First Indent"/>
    <w:basedOn w:val="Corpotesto"/>
    <w:link w:val="PrimorientrocorpodeltestoCarattere"/>
    <w:uiPriority w:val="99"/>
    <w:semiHidden/>
    <w:rsid w:val="006544C4"/>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44C4"/>
    <w:rPr>
      <w:rFonts w:eastAsiaTheme="minorEastAsia"/>
      <w:sz w:val="24"/>
    </w:rPr>
  </w:style>
  <w:style w:type="paragraph" w:styleId="Rientrocorpodeltesto">
    <w:name w:val="Body Text Indent"/>
    <w:basedOn w:val="Normale"/>
    <w:link w:val="RientrocorpodeltestoCarattere"/>
    <w:uiPriority w:val="99"/>
    <w:semiHidden/>
    <w:rsid w:val="006544C4"/>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6544C4"/>
    <w:rPr>
      <w:rFonts w:eastAsiaTheme="minorEastAsia"/>
      <w:sz w:val="24"/>
    </w:rPr>
  </w:style>
  <w:style w:type="paragraph" w:styleId="Primorientrocorpodeltesto2">
    <w:name w:val="Body Text First Indent 2"/>
    <w:basedOn w:val="Rientrocorpodeltesto"/>
    <w:link w:val="Primorientrocorpodeltesto2Carattere"/>
    <w:semiHidden/>
    <w:rsid w:val="006544C4"/>
    <w:pPr>
      <w:spacing w:after="0"/>
      <w:ind w:left="360" w:firstLine="360"/>
    </w:pPr>
  </w:style>
  <w:style w:type="character" w:customStyle="1" w:styleId="Primorientrocorpodeltesto2Carattere">
    <w:name w:val="Primo rientro corpo del testo 2 Carattere"/>
    <w:basedOn w:val="RientrocorpodeltestoCarattere"/>
    <w:link w:val="Primorientrocorpodeltesto2"/>
    <w:semiHidden/>
    <w:rsid w:val="006544C4"/>
    <w:rPr>
      <w:rFonts w:eastAsiaTheme="minorEastAsia"/>
      <w:sz w:val="24"/>
    </w:rPr>
  </w:style>
  <w:style w:type="paragraph" w:styleId="Rientrocorpodeltesto2">
    <w:name w:val="Body Text Indent 2"/>
    <w:basedOn w:val="Normale"/>
    <w:link w:val="Rientrocorpodeltesto2Carattere"/>
    <w:semiHidden/>
    <w:rsid w:val="006544C4"/>
    <w:pPr>
      <w:spacing w:after="120" w:line="480" w:lineRule="auto"/>
      <w:ind w:left="283"/>
    </w:pPr>
  </w:style>
  <w:style w:type="character" w:customStyle="1" w:styleId="Rientrocorpodeltesto2Carattere">
    <w:name w:val="Rientro corpo del testo 2 Carattere"/>
    <w:basedOn w:val="Carpredefinitoparagrafo"/>
    <w:link w:val="Rientrocorpodeltesto2"/>
    <w:semiHidden/>
    <w:rsid w:val="006544C4"/>
    <w:rPr>
      <w:rFonts w:eastAsiaTheme="minorEastAsia"/>
      <w:sz w:val="24"/>
    </w:rPr>
  </w:style>
  <w:style w:type="paragraph" w:styleId="Rientrocorpodeltesto3">
    <w:name w:val="Body Text Indent 3"/>
    <w:basedOn w:val="Normale"/>
    <w:link w:val="Rientrocorpodeltesto3Carattere"/>
    <w:uiPriority w:val="99"/>
    <w:semiHidden/>
    <w:rsid w:val="006544C4"/>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544C4"/>
    <w:rPr>
      <w:rFonts w:eastAsiaTheme="minorEastAsia"/>
      <w:sz w:val="16"/>
      <w:szCs w:val="16"/>
    </w:rPr>
  </w:style>
  <w:style w:type="paragraph" w:styleId="Didascalia">
    <w:name w:val="caption"/>
    <w:basedOn w:val="Normale"/>
    <w:next w:val="Normale"/>
    <w:uiPriority w:val="99"/>
    <w:semiHidden/>
    <w:qFormat/>
    <w:rsid w:val="006544C4"/>
    <w:pPr>
      <w:spacing w:after="200"/>
    </w:pPr>
    <w:rPr>
      <w:b/>
      <w:bCs/>
      <w:color w:val="0072BC" w:themeColor="accent1"/>
      <w:sz w:val="18"/>
      <w:szCs w:val="18"/>
    </w:rPr>
  </w:style>
  <w:style w:type="paragraph" w:styleId="Formuladichiusura">
    <w:name w:val="Closing"/>
    <w:basedOn w:val="Normale"/>
    <w:link w:val="FormuladichiusuraCarattere"/>
    <w:uiPriority w:val="99"/>
    <w:semiHidden/>
    <w:rsid w:val="006544C4"/>
    <w:pPr>
      <w:ind w:left="4252"/>
    </w:pPr>
  </w:style>
  <w:style w:type="character" w:customStyle="1" w:styleId="FormuladichiusuraCarattere">
    <w:name w:val="Formula di chiusura Carattere"/>
    <w:basedOn w:val="Carpredefinitoparagrafo"/>
    <w:link w:val="Formuladichiusura"/>
    <w:uiPriority w:val="99"/>
    <w:semiHidden/>
    <w:rsid w:val="006544C4"/>
    <w:rPr>
      <w:rFonts w:eastAsiaTheme="minorEastAsia"/>
      <w:sz w:val="24"/>
    </w:rPr>
  </w:style>
  <w:style w:type="table" w:styleId="Grigliaacolori">
    <w:name w:val="Colorful Grid"/>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6544C4"/>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6544C4"/>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6544C4"/>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6544C4"/>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6544C4"/>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6544C4"/>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6544C4"/>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6544C4"/>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6544C4"/>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6544C4"/>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6544C4"/>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6544C4"/>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6544C4"/>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6544C4"/>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semiHidden/>
    <w:rsid w:val="006544C4"/>
    <w:rPr>
      <w:b/>
      <w:bCs/>
      <w:szCs w:val="20"/>
    </w:rPr>
  </w:style>
  <w:style w:type="character" w:customStyle="1" w:styleId="SoggettocommentoCarattere">
    <w:name w:val="Soggetto commento Carattere"/>
    <w:basedOn w:val="TestocommentoCarattere"/>
    <w:link w:val="Soggettocommento"/>
    <w:semiHidden/>
    <w:rsid w:val="006544C4"/>
    <w:rPr>
      <w:rFonts w:eastAsiaTheme="minorEastAsia"/>
      <w:b/>
      <w:bCs/>
      <w:sz w:val="20"/>
      <w:szCs w:val="20"/>
    </w:rPr>
  </w:style>
  <w:style w:type="table" w:styleId="Elencoscuro">
    <w:name w:val="Dark List"/>
    <w:basedOn w:val="Tabellanormale"/>
    <w:uiPriority w:val="99"/>
    <w:semiHidden/>
    <w:rsid w:val="006544C4"/>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6544C4"/>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6544C4"/>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6544C4"/>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6544C4"/>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6544C4"/>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6544C4"/>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6544C4"/>
  </w:style>
  <w:style w:type="character" w:customStyle="1" w:styleId="DataCarattere">
    <w:name w:val="Data Carattere"/>
    <w:basedOn w:val="Carpredefinitoparagrafo"/>
    <w:link w:val="Data"/>
    <w:uiPriority w:val="99"/>
    <w:semiHidden/>
    <w:rsid w:val="006544C4"/>
    <w:rPr>
      <w:rFonts w:eastAsiaTheme="minorEastAsia"/>
      <w:sz w:val="24"/>
    </w:rPr>
  </w:style>
  <w:style w:type="paragraph" w:styleId="Mappadocumento">
    <w:name w:val="Document Map"/>
    <w:basedOn w:val="Normale"/>
    <w:link w:val="MappadocumentoCarattere"/>
    <w:semiHidden/>
    <w:rsid w:val="006544C4"/>
    <w:rPr>
      <w:rFonts w:ascii="Tahoma" w:hAnsi="Tahoma" w:cs="Tahoma"/>
      <w:sz w:val="16"/>
      <w:szCs w:val="16"/>
    </w:rPr>
  </w:style>
  <w:style w:type="character" w:customStyle="1" w:styleId="MappadocumentoCarattere">
    <w:name w:val="Mappa documento Carattere"/>
    <w:basedOn w:val="Carpredefinitoparagrafo"/>
    <w:link w:val="Mappadocumento"/>
    <w:semiHidden/>
    <w:rsid w:val="006544C4"/>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rsid w:val="006544C4"/>
  </w:style>
  <w:style w:type="character" w:customStyle="1" w:styleId="FirmadipostaelettronicaCarattere">
    <w:name w:val="Firma di posta elettronica Carattere"/>
    <w:basedOn w:val="Carpredefinitoparagrafo"/>
    <w:link w:val="Firmadipostaelettronica"/>
    <w:uiPriority w:val="99"/>
    <w:semiHidden/>
    <w:rsid w:val="006544C4"/>
    <w:rPr>
      <w:rFonts w:eastAsiaTheme="minorEastAsia"/>
      <w:sz w:val="24"/>
    </w:rPr>
  </w:style>
  <w:style w:type="character" w:styleId="Rimandonotadichiusura">
    <w:name w:val="endnote reference"/>
    <w:basedOn w:val="Carpredefinitoparagrafo"/>
    <w:semiHidden/>
    <w:rsid w:val="006544C4"/>
    <w:rPr>
      <w:vertAlign w:val="superscript"/>
    </w:rPr>
  </w:style>
  <w:style w:type="paragraph" w:styleId="Testonotadichiusura">
    <w:name w:val="endnote text"/>
    <w:basedOn w:val="Normale"/>
    <w:link w:val="TestonotadichiusuraCarattere"/>
    <w:uiPriority w:val="99"/>
    <w:semiHidden/>
    <w:rsid w:val="006544C4"/>
    <w:rPr>
      <w:sz w:val="20"/>
      <w:szCs w:val="20"/>
    </w:rPr>
  </w:style>
  <w:style w:type="character" w:customStyle="1" w:styleId="TestonotadichiusuraCarattere">
    <w:name w:val="Testo nota di chiusura Carattere"/>
    <w:basedOn w:val="Carpredefinitoparagrafo"/>
    <w:link w:val="Testonotadichiusura"/>
    <w:uiPriority w:val="99"/>
    <w:semiHidden/>
    <w:rsid w:val="006544C4"/>
    <w:rPr>
      <w:rFonts w:eastAsiaTheme="minorEastAsia"/>
      <w:sz w:val="20"/>
      <w:szCs w:val="20"/>
    </w:rPr>
  </w:style>
  <w:style w:type="paragraph" w:styleId="Indirizzodestinatario">
    <w:name w:val="envelope address"/>
    <w:basedOn w:val="Normale"/>
    <w:uiPriority w:val="99"/>
    <w:semiHidden/>
    <w:rsid w:val="006544C4"/>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semiHidden/>
    <w:rsid w:val="006544C4"/>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rsid w:val="006544C4"/>
    <w:rPr>
      <w:color w:val="7030A0" w:themeColor="followedHyperlink"/>
      <w:u w:val="single"/>
    </w:rPr>
  </w:style>
  <w:style w:type="character" w:styleId="AcronimoHTML">
    <w:name w:val="HTML Acronym"/>
    <w:basedOn w:val="Carpredefinitoparagrafo"/>
    <w:uiPriority w:val="99"/>
    <w:semiHidden/>
    <w:rsid w:val="006544C4"/>
  </w:style>
  <w:style w:type="paragraph" w:styleId="IndirizzoHTML">
    <w:name w:val="HTML Address"/>
    <w:basedOn w:val="Normale"/>
    <w:link w:val="IndirizzoHTMLCarattere"/>
    <w:semiHidden/>
    <w:rsid w:val="006544C4"/>
    <w:rPr>
      <w:i/>
      <w:iCs/>
    </w:rPr>
  </w:style>
  <w:style w:type="character" w:customStyle="1" w:styleId="IndirizzoHTMLCarattere">
    <w:name w:val="Indirizzo HTML Carattere"/>
    <w:basedOn w:val="Carpredefinitoparagrafo"/>
    <w:link w:val="IndirizzoHTML"/>
    <w:semiHidden/>
    <w:rsid w:val="006544C4"/>
    <w:rPr>
      <w:rFonts w:eastAsiaTheme="minorEastAsia"/>
      <w:i/>
      <w:iCs/>
      <w:sz w:val="24"/>
    </w:rPr>
  </w:style>
  <w:style w:type="character" w:styleId="CitazioneHTML">
    <w:name w:val="HTML Cite"/>
    <w:basedOn w:val="Carpredefinitoparagrafo"/>
    <w:uiPriority w:val="99"/>
    <w:semiHidden/>
    <w:rsid w:val="006544C4"/>
    <w:rPr>
      <w:i/>
      <w:iCs/>
    </w:rPr>
  </w:style>
  <w:style w:type="character" w:styleId="CodiceHTML">
    <w:name w:val="HTML Code"/>
    <w:basedOn w:val="Carpredefinitoparagrafo"/>
    <w:uiPriority w:val="99"/>
    <w:semiHidden/>
    <w:rsid w:val="006544C4"/>
    <w:rPr>
      <w:rFonts w:ascii="Consolas" w:hAnsi="Consolas" w:cs="Consolas"/>
      <w:sz w:val="20"/>
      <w:szCs w:val="20"/>
    </w:rPr>
  </w:style>
  <w:style w:type="character" w:styleId="DefinizioneHTML">
    <w:name w:val="HTML Definition"/>
    <w:basedOn w:val="Carpredefinitoparagrafo"/>
    <w:uiPriority w:val="99"/>
    <w:semiHidden/>
    <w:rsid w:val="006544C4"/>
    <w:rPr>
      <w:i/>
      <w:iCs/>
    </w:rPr>
  </w:style>
  <w:style w:type="character" w:styleId="TastieraHTML">
    <w:name w:val="HTML Keyboard"/>
    <w:basedOn w:val="Carpredefinitoparagrafo"/>
    <w:semiHidden/>
    <w:rsid w:val="006544C4"/>
    <w:rPr>
      <w:rFonts w:ascii="Consolas" w:hAnsi="Consolas" w:cs="Consolas"/>
      <w:sz w:val="20"/>
      <w:szCs w:val="20"/>
    </w:rPr>
  </w:style>
  <w:style w:type="paragraph" w:styleId="PreformattatoHTML">
    <w:name w:val="HTML Preformatted"/>
    <w:basedOn w:val="Normale"/>
    <w:link w:val="PreformattatoHTMLCarattere"/>
    <w:uiPriority w:val="99"/>
    <w:semiHidden/>
    <w:rsid w:val="006544C4"/>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6544C4"/>
    <w:rPr>
      <w:rFonts w:ascii="Consolas" w:eastAsiaTheme="minorEastAsia" w:hAnsi="Consolas" w:cs="Consolas"/>
      <w:sz w:val="20"/>
      <w:szCs w:val="20"/>
    </w:rPr>
  </w:style>
  <w:style w:type="character" w:styleId="EsempioHTML">
    <w:name w:val="HTML Sample"/>
    <w:basedOn w:val="Carpredefinitoparagrafo"/>
    <w:semiHidden/>
    <w:rsid w:val="006544C4"/>
    <w:rPr>
      <w:rFonts w:ascii="Consolas" w:hAnsi="Consolas" w:cs="Consolas"/>
      <w:sz w:val="24"/>
      <w:szCs w:val="24"/>
    </w:rPr>
  </w:style>
  <w:style w:type="character" w:styleId="MacchinadascrivereHTML">
    <w:name w:val="HTML Typewriter"/>
    <w:basedOn w:val="Carpredefinitoparagrafo"/>
    <w:uiPriority w:val="99"/>
    <w:semiHidden/>
    <w:rsid w:val="006544C4"/>
    <w:rPr>
      <w:rFonts w:ascii="Consolas" w:hAnsi="Consolas" w:cs="Consolas"/>
      <w:sz w:val="20"/>
      <w:szCs w:val="20"/>
    </w:rPr>
  </w:style>
  <w:style w:type="character" w:styleId="VariabileHTML">
    <w:name w:val="HTML Variable"/>
    <w:basedOn w:val="Carpredefinitoparagrafo"/>
    <w:semiHidden/>
    <w:rsid w:val="006544C4"/>
    <w:rPr>
      <w:i/>
      <w:iCs/>
    </w:rPr>
  </w:style>
  <w:style w:type="paragraph" w:styleId="Indice1">
    <w:name w:val="index 1"/>
    <w:basedOn w:val="Normale"/>
    <w:next w:val="Normale"/>
    <w:autoRedefine/>
    <w:uiPriority w:val="99"/>
    <w:semiHidden/>
    <w:rsid w:val="006544C4"/>
    <w:pPr>
      <w:ind w:left="240" w:hanging="240"/>
    </w:pPr>
  </w:style>
  <w:style w:type="paragraph" w:styleId="Indice2">
    <w:name w:val="index 2"/>
    <w:basedOn w:val="Normale"/>
    <w:next w:val="Normale"/>
    <w:autoRedefine/>
    <w:semiHidden/>
    <w:rsid w:val="006544C4"/>
    <w:pPr>
      <w:ind w:left="480" w:hanging="240"/>
    </w:pPr>
  </w:style>
  <w:style w:type="paragraph" w:styleId="Indice3">
    <w:name w:val="index 3"/>
    <w:basedOn w:val="Normale"/>
    <w:next w:val="Normale"/>
    <w:autoRedefine/>
    <w:uiPriority w:val="99"/>
    <w:semiHidden/>
    <w:rsid w:val="006544C4"/>
    <w:pPr>
      <w:ind w:left="720" w:hanging="240"/>
    </w:pPr>
  </w:style>
  <w:style w:type="paragraph" w:styleId="Indice4">
    <w:name w:val="index 4"/>
    <w:basedOn w:val="Normale"/>
    <w:next w:val="Normale"/>
    <w:autoRedefine/>
    <w:uiPriority w:val="99"/>
    <w:semiHidden/>
    <w:rsid w:val="006544C4"/>
    <w:pPr>
      <w:ind w:left="960" w:hanging="240"/>
    </w:pPr>
  </w:style>
  <w:style w:type="paragraph" w:styleId="Indice5">
    <w:name w:val="index 5"/>
    <w:basedOn w:val="Normale"/>
    <w:next w:val="Normale"/>
    <w:autoRedefine/>
    <w:uiPriority w:val="99"/>
    <w:semiHidden/>
    <w:rsid w:val="006544C4"/>
    <w:pPr>
      <w:ind w:left="1200" w:hanging="240"/>
    </w:pPr>
  </w:style>
  <w:style w:type="paragraph" w:styleId="Indice6">
    <w:name w:val="index 6"/>
    <w:basedOn w:val="Normale"/>
    <w:next w:val="Normale"/>
    <w:autoRedefine/>
    <w:semiHidden/>
    <w:rsid w:val="006544C4"/>
    <w:pPr>
      <w:ind w:left="1440" w:hanging="240"/>
    </w:pPr>
  </w:style>
  <w:style w:type="paragraph" w:styleId="Indice7">
    <w:name w:val="index 7"/>
    <w:basedOn w:val="Normale"/>
    <w:next w:val="Normale"/>
    <w:autoRedefine/>
    <w:uiPriority w:val="99"/>
    <w:semiHidden/>
    <w:rsid w:val="006544C4"/>
    <w:pPr>
      <w:ind w:left="1680" w:hanging="240"/>
    </w:pPr>
  </w:style>
  <w:style w:type="paragraph" w:styleId="Indice8">
    <w:name w:val="index 8"/>
    <w:basedOn w:val="Normale"/>
    <w:next w:val="Normale"/>
    <w:autoRedefine/>
    <w:semiHidden/>
    <w:rsid w:val="006544C4"/>
    <w:pPr>
      <w:ind w:left="1920" w:hanging="240"/>
    </w:pPr>
  </w:style>
  <w:style w:type="paragraph" w:styleId="Indice9">
    <w:name w:val="index 9"/>
    <w:basedOn w:val="Normale"/>
    <w:next w:val="Normale"/>
    <w:autoRedefine/>
    <w:uiPriority w:val="99"/>
    <w:semiHidden/>
    <w:rsid w:val="006544C4"/>
    <w:pPr>
      <w:ind w:left="2160" w:hanging="240"/>
    </w:pPr>
  </w:style>
  <w:style w:type="paragraph" w:styleId="Titoloindice">
    <w:name w:val="index heading"/>
    <w:basedOn w:val="Normale"/>
    <w:next w:val="Indice1"/>
    <w:semiHidden/>
    <w:rsid w:val="006544C4"/>
    <w:rPr>
      <w:rFonts w:asciiTheme="majorHAnsi" w:eastAsiaTheme="majorEastAsia" w:hAnsiTheme="majorHAnsi" w:cstheme="majorBidi"/>
      <w:b/>
      <w:bCs/>
    </w:rPr>
  </w:style>
  <w:style w:type="table" w:styleId="Grigliachiara">
    <w:name w:val="Light Grid"/>
    <w:basedOn w:val="Tabellanormale"/>
    <w:uiPriority w:val="99"/>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6544C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6544C4"/>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6544C4"/>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6544C4"/>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6544C4"/>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6544C4"/>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6544C4"/>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6544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6544C4"/>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6544C4"/>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6544C4"/>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6544C4"/>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6544C4"/>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6544C4"/>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semiHidden/>
    <w:rsid w:val="006544C4"/>
  </w:style>
  <w:style w:type="paragraph" w:styleId="Elenco">
    <w:name w:val="List"/>
    <w:basedOn w:val="Normale"/>
    <w:uiPriority w:val="99"/>
    <w:semiHidden/>
    <w:rsid w:val="006544C4"/>
    <w:pPr>
      <w:ind w:left="283" w:hanging="283"/>
      <w:contextualSpacing/>
    </w:pPr>
  </w:style>
  <w:style w:type="paragraph" w:styleId="Elenco2">
    <w:name w:val="List 2"/>
    <w:basedOn w:val="Normale"/>
    <w:semiHidden/>
    <w:rsid w:val="006544C4"/>
    <w:pPr>
      <w:ind w:left="566" w:hanging="283"/>
      <w:contextualSpacing/>
    </w:pPr>
  </w:style>
  <w:style w:type="paragraph" w:styleId="Elenco3">
    <w:name w:val="List 3"/>
    <w:basedOn w:val="Normale"/>
    <w:uiPriority w:val="99"/>
    <w:semiHidden/>
    <w:rsid w:val="006544C4"/>
    <w:pPr>
      <w:ind w:left="849" w:hanging="283"/>
      <w:contextualSpacing/>
    </w:pPr>
  </w:style>
  <w:style w:type="paragraph" w:styleId="Elenco4">
    <w:name w:val="List 4"/>
    <w:basedOn w:val="Normale"/>
    <w:semiHidden/>
    <w:rsid w:val="006544C4"/>
    <w:pPr>
      <w:ind w:left="1132" w:hanging="283"/>
      <w:contextualSpacing/>
    </w:pPr>
  </w:style>
  <w:style w:type="paragraph" w:styleId="Elenco5">
    <w:name w:val="List 5"/>
    <w:basedOn w:val="Normale"/>
    <w:uiPriority w:val="99"/>
    <w:semiHidden/>
    <w:rsid w:val="006544C4"/>
    <w:pPr>
      <w:ind w:left="1415" w:hanging="283"/>
      <w:contextualSpacing/>
    </w:pPr>
  </w:style>
  <w:style w:type="paragraph" w:styleId="Puntoelenco">
    <w:name w:val="List Bullet"/>
    <w:basedOn w:val="Normale"/>
    <w:uiPriority w:val="99"/>
    <w:semiHidden/>
    <w:rsid w:val="006544C4"/>
    <w:pPr>
      <w:numPr>
        <w:numId w:val="6"/>
      </w:numPr>
      <w:contextualSpacing/>
    </w:pPr>
  </w:style>
  <w:style w:type="paragraph" w:styleId="Puntoelenco4">
    <w:name w:val="List Bullet 4"/>
    <w:basedOn w:val="Normale"/>
    <w:uiPriority w:val="99"/>
    <w:semiHidden/>
    <w:rsid w:val="006544C4"/>
    <w:pPr>
      <w:numPr>
        <w:numId w:val="7"/>
      </w:numPr>
      <w:contextualSpacing/>
    </w:pPr>
  </w:style>
  <w:style w:type="paragraph" w:styleId="Puntoelenco5">
    <w:name w:val="List Bullet 5"/>
    <w:basedOn w:val="Normale"/>
    <w:semiHidden/>
    <w:rsid w:val="006544C4"/>
    <w:pPr>
      <w:numPr>
        <w:numId w:val="8"/>
      </w:numPr>
      <w:contextualSpacing/>
    </w:pPr>
  </w:style>
  <w:style w:type="paragraph" w:styleId="Elencocontinua">
    <w:name w:val="List Continue"/>
    <w:basedOn w:val="Normale"/>
    <w:uiPriority w:val="99"/>
    <w:semiHidden/>
    <w:rsid w:val="006544C4"/>
    <w:pPr>
      <w:spacing w:after="120"/>
      <w:ind w:left="283"/>
      <w:contextualSpacing/>
    </w:pPr>
  </w:style>
  <w:style w:type="paragraph" w:styleId="Elencocontinua2">
    <w:name w:val="List Continue 2"/>
    <w:basedOn w:val="Normale"/>
    <w:semiHidden/>
    <w:rsid w:val="006544C4"/>
    <w:pPr>
      <w:spacing w:after="120"/>
      <w:ind w:left="566"/>
      <w:contextualSpacing/>
    </w:pPr>
  </w:style>
  <w:style w:type="paragraph" w:styleId="Elencocontinua3">
    <w:name w:val="List Continue 3"/>
    <w:basedOn w:val="Normale"/>
    <w:uiPriority w:val="99"/>
    <w:semiHidden/>
    <w:rsid w:val="006544C4"/>
    <w:pPr>
      <w:spacing w:after="120"/>
      <w:ind w:left="849"/>
      <w:contextualSpacing/>
    </w:pPr>
  </w:style>
  <w:style w:type="paragraph" w:styleId="Elencocontinua4">
    <w:name w:val="List Continue 4"/>
    <w:basedOn w:val="Normale"/>
    <w:uiPriority w:val="99"/>
    <w:semiHidden/>
    <w:rsid w:val="006544C4"/>
    <w:pPr>
      <w:spacing w:after="120"/>
      <w:ind w:left="1132"/>
      <w:contextualSpacing/>
    </w:pPr>
  </w:style>
  <w:style w:type="paragraph" w:styleId="Elencocontinua5">
    <w:name w:val="List Continue 5"/>
    <w:basedOn w:val="Normale"/>
    <w:uiPriority w:val="99"/>
    <w:semiHidden/>
    <w:rsid w:val="006544C4"/>
    <w:pPr>
      <w:spacing w:after="120"/>
      <w:ind w:left="1415"/>
      <w:contextualSpacing/>
    </w:pPr>
  </w:style>
  <w:style w:type="paragraph" w:styleId="Numeroelenco">
    <w:name w:val="List Number"/>
    <w:basedOn w:val="Normale"/>
    <w:semiHidden/>
    <w:rsid w:val="006544C4"/>
    <w:pPr>
      <w:numPr>
        <w:numId w:val="9"/>
      </w:numPr>
      <w:contextualSpacing/>
    </w:pPr>
  </w:style>
  <w:style w:type="paragraph" w:styleId="Numeroelenco2">
    <w:name w:val="List Number 2"/>
    <w:basedOn w:val="Normale"/>
    <w:uiPriority w:val="99"/>
    <w:semiHidden/>
    <w:rsid w:val="006544C4"/>
    <w:pPr>
      <w:numPr>
        <w:numId w:val="10"/>
      </w:numPr>
      <w:contextualSpacing/>
    </w:pPr>
  </w:style>
  <w:style w:type="paragraph" w:styleId="Numeroelenco3">
    <w:name w:val="List Number 3"/>
    <w:basedOn w:val="Normale"/>
    <w:semiHidden/>
    <w:rsid w:val="006544C4"/>
    <w:pPr>
      <w:numPr>
        <w:numId w:val="11"/>
      </w:numPr>
      <w:contextualSpacing/>
    </w:pPr>
  </w:style>
  <w:style w:type="paragraph" w:styleId="Numeroelenco4">
    <w:name w:val="List Number 4"/>
    <w:basedOn w:val="Normale"/>
    <w:uiPriority w:val="99"/>
    <w:semiHidden/>
    <w:rsid w:val="006544C4"/>
    <w:pPr>
      <w:numPr>
        <w:numId w:val="12"/>
      </w:numPr>
      <w:contextualSpacing/>
    </w:pPr>
  </w:style>
  <w:style w:type="paragraph" w:styleId="Numeroelenco5">
    <w:name w:val="List Number 5"/>
    <w:basedOn w:val="Normale"/>
    <w:semiHidden/>
    <w:rsid w:val="006544C4"/>
    <w:pPr>
      <w:numPr>
        <w:numId w:val="13"/>
      </w:numPr>
      <w:contextualSpacing/>
    </w:pPr>
  </w:style>
  <w:style w:type="paragraph" w:styleId="Testomacro">
    <w:name w:val="macro"/>
    <w:link w:val="TestomacroCarattere"/>
    <w:uiPriority w:val="99"/>
    <w:semiHidden/>
    <w:rsid w:val="006544C4"/>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6544C4"/>
    <w:rPr>
      <w:rFonts w:ascii="Consolas" w:eastAsiaTheme="minorEastAsia" w:hAnsi="Consolas" w:cs="Consolas"/>
      <w:sz w:val="20"/>
      <w:szCs w:val="20"/>
    </w:rPr>
  </w:style>
  <w:style w:type="table" w:styleId="Grigliamedia1">
    <w:name w:val="Medium Grid 1"/>
    <w:basedOn w:val="Tabellanormale"/>
    <w:uiPriority w:val="67"/>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6544C4"/>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6544C4"/>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6544C4"/>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6544C4"/>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6544C4"/>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6544C4"/>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6544C4"/>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6544C4"/>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6544C4"/>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6544C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6544C4"/>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6544C4"/>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6544C4"/>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6544C4"/>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6544C4"/>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6544C4"/>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6544C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6544C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6544C4"/>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6544C4"/>
    <w:rPr>
      <w:rFonts w:ascii="Times New Roman" w:hAnsi="Times New Roman" w:cs="Times New Roman"/>
      <w:szCs w:val="24"/>
    </w:rPr>
  </w:style>
  <w:style w:type="paragraph" w:styleId="Rientronormale">
    <w:name w:val="Normal Indent"/>
    <w:basedOn w:val="Normale"/>
    <w:uiPriority w:val="99"/>
    <w:semiHidden/>
    <w:rsid w:val="006544C4"/>
    <w:pPr>
      <w:ind w:left="720"/>
    </w:pPr>
  </w:style>
  <w:style w:type="paragraph" w:styleId="Intestazionenota">
    <w:name w:val="Note Heading"/>
    <w:basedOn w:val="Normale"/>
    <w:next w:val="Normale"/>
    <w:link w:val="IntestazionenotaCarattere"/>
    <w:uiPriority w:val="99"/>
    <w:semiHidden/>
    <w:rsid w:val="006544C4"/>
  </w:style>
  <w:style w:type="character" w:customStyle="1" w:styleId="IntestazionenotaCarattere">
    <w:name w:val="Intestazione nota Carattere"/>
    <w:basedOn w:val="Carpredefinitoparagrafo"/>
    <w:link w:val="Intestazionenota"/>
    <w:uiPriority w:val="99"/>
    <w:semiHidden/>
    <w:rsid w:val="006544C4"/>
    <w:rPr>
      <w:rFonts w:eastAsiaTheme="minorEastAsia"/>
      <w:sz w:val="24"/>
    </w:rPr>
  </w:style>
  <w:style w:type="character" w:styleId="Testosegnaposto">
    <w:name w:val="Placeholder Text"/>
    <w:basedOn w:val="Carpredefinitoparagrafo"/>
    <w:uiPriority w:val="99"/>
    <w:semiHidden/>
    <w:rsid w:val="006544C4"/>
    <w:rPr>
      <w:color w:val="808080"/>
    </w:rPr>
  </w:style>
  <w:style w:type="paragraph" w:styleId="Testonormale">
    <w:name w:val="Plain Text"/>
    <w:basedOn w:val="Normale"/>
    <w:link w:val="TestonormaleCarattere"/>
    <w:uiPriority w:val="99"/>
    <w:semiHidden/>
    <w:rsid w:val="006544C4"/>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6544C4"/>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6544C4"/>
  </w:style>
  <w:style w:type="character" w:customStyle="1" w:styleId="FormuladiaperturaCarattere">
    <w:name w:val="Formula di apertura Carattere"/>
    <w:basedOn w:val="Carpredefinitoparagrafo"/>
    <w:link w:val="Formuladiapertura"/>
    <w:uiPriority w:val="99"/>
    <w:semiHidden/>
    <w:rsid w:val="006544C4"/>
    <w:rPr>
      <w:rFonts w:eastAsiaTheme="minorEastAsia"/>
      <w:sz w:val="24"/>
    </w:rPr>
  </w:style>
  <w:style w:type="paragraph" w:styleId="Firma">
    <w:name w:val="Signature"/>
    <w:basedOn w:val="Normale"/>
    <w:link w:val="FirmaCarattere"/>
    <w:uiPriority w:val="99"/>
    <w:semiHidden/>
    <w:rsid w:val="006544C4"/>
    <w:pPr>
      <w:ind w:left="4252"/>
    </w:pPr>
  </w:style>
  <w:style w:type="character" w:customStyle="1" w:styleId="FirmaCarattere">
    <w:name w:val="Firma Carattere"/>
    <w:basedOn w:val="Carpredefinitoparagrafo"/>
    <w:link w:val="Firma"/>
    <w:uiPriority w:val="99"/>
    <w:semiHidden/>
    <w:rsid w:val="006544C4"/>
    <w:rPr>
      <w:rFonts w:eastAsiaTheme="minorEastAsia"/>
      <w:sz w:val="24"/>
    </w:rPr>
  </w:style>
  <w:style w:type="table" w:styleId="Tabellaeffetti3D1">
    <w:name w:val="Table 3D effects 1"/>
    <w:basedOn w:val="Tabellanormale"/>
    <w:uiPriority w:val="99"/>
    <w:semiHidden/>
    <w:unhideWhenUsed/>
    <w:rsid w:val="006544C4"/>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44C4"/>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44C4"/>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44C4"/>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44C4"/>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44C4"/>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6544C4"/>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44C4"/>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44C4"/>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6544C4"/>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44C4"/>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44C4"/>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44C4"/>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44C4"/>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6544C4"/>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6544C4"/>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44C4"/>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44C4"/>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44C4"/>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44C4"/>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44C4"/>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6544C4"/>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44C4"/>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44C4"/>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44C4"/>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44C4"/>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6544C4"/>
    <w:pPr>
      <w:ind w:left="240" w:hanging="240"/>
    </w:pPr>
  </w:style>
  <w:style w:type="paragraph" w:styleId="Indicedellefigure">
    <w:name w:val="table of figures"/>
    <w:basedOn w:val="Normale"/>
    <w:next w:val="Normale"/>
    <w:uiPriority w:val="99"/>
    <w:semiHidden/>
    <w:rsid w:val="006544C4"/>
  </w:style>
  <w:style w:type="table" w:styleId="Tabellaprofessionale">
    <w:name w:val="Table Professional"/>
    <w:basedOn w:val="Tabellanormale"/>
    <w:uiPriority w:val="99"/>
    <w:semiHidden/>
    <w:unhideWhenUsed/>
    <w:rsid w:val="006544C4"/>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6544C4"/>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44C4"/>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44C4"/>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44C4"/>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6544C4"/>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44C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6544C4"/>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44C4"/>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6544C4"/>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6544C4"/>
    <w:pPr>
      <w:spacing w:after="100"/>
      <w:ind w:left="1200"/>
    </w:pPr>
  </w:style>
  <w:style w:type="paragraph" w:styleId="Sommario7">
    <w:name w:val="toc 7"/>
    <w:basedOn w:val="Normale"/>
    <w:next w:val="Normale"/>
    <w:autoRedefine/>
    <w:uiPriority w:val="99"/>
    <w:semiHidden/>
    <w:rsid w:val="006544C4"/>
    <w:pPr>
      <w:spacing w:after="100"/>
      <w:ind w:left="1440"/>
    </w:pPr>
  </w:style>
  <w:style w:type="paragraph" w:styleId="Sommario8">
    <w:name w:val="toc 8"/>
    <w:basedOn w:val="Normale"/>
    <w:next w:val="Normale"/>
    <w:autoRedefine/>
    <w:uiPriority w:val="99"/>
    <w:semiHidden/>
    <w:rsid w:val="006544C4"/>
    <w:pPr>
      <w:spacing w:after="100"/>
      <w:ind w:left="1680"/>
    </w:pPr>
  </w:style>
  <w:style w:type="paragraph" w:styleId="Sommario9">
    <w:name w:val="toc 9"/>
    <w:basedOn w:val="Normale"/>
    <w:next w:val="Normale"/>
    <w:autoRedefine/>
    <w:uiPriority w:val="99"/>
    <w:semiHidden/>
    <w:rsid w:val="006544C4"/>
    <w:pPr>
      <w:spacing w:after="100"/>
      <w:ind w:left="1920"/>
    </w:pPr>
  </w:style>
  <w:style w:type="paragraph" w:customStyle="1" w:styleId="DummyStyle">
    <w:name w:val="Dummy_Style"/>
    <w:basedOn w:val="Normale"/>
    <w:semiHidden/>
    <w:qFormat/>
    <w:rsid w:val="00AD5A90"/>
    <w:rPr>
      <w:color w:val="00B050"/>
      <w:lang w:bidi="en-US"/>
    </w:rPr>
  </w:style>
  <w:style w:type="paragraph" w:customStyle="1" w:styleId="ECHRFooter">
    <w:name w:val="ECHR_Footer"/>
    <w:aliases w:val="Footer_ECHR"/>
    <w:basedOn w:val="Pidipagina"/>
    <w:uiPriority w:val="57"/>
    <w:semiHidden/>
    <w:rsid w:val="00AD5A90"/>
    <w:pPr>
      <w:jc w:val="left"/>
    </w:pPr>
    <w:rPr>
      <w:sz w:val="8"/>
    </w:rPr>
  </w:style>
  <w:style w:type="paragraph" w:customStyle="1" w:styleId="ECHRFooterLine">
    <w:name w:val="ECHR_Footer_Line"/>
    <w:aliases w:val="Footer_Line"/>
    <w:basedOn w:val="Normale"/>
    <w:next w:val="ECHRFooter"/>
    <w:uiPriority w:val="57"/>
    <w:semiHidden/>
    <w:rsid w:val="00AD5A90"/>
    <w:pPr>
      <w:pBdr>
        <w:top w:val="single" w:sz="6" w:space="1" w:color="5F5F5F"/>
      </w:pBdr>
      <w:tabs>
        <w:tab w:val="center" w:pos="4536"/>
        <w:tab w:val="right" w:pos="9696"/>
      </w:tabs>
      <w:ind w:left="-680" w:right="-680"/>
      <w:jc w:val="left"/>
    </w:pPr>
    <w:rPr>
      <w:color w:val="5F5F5F"/>
    </w:rPr>
  </w:style>
  <w:style w:type="character" w:customStyle="1" w:styleId="ECHRParaChar">
    <w:name w:val="ECHR_Para Char"/>
    <w:aliases w:val="Ju_Para Char"/>
    <w:basedOn w:val="Carpredefinitoparagrafo"/>
    <w:link w:val="ECHRPara"/>
    <w:uiPriority w:val="12"/>
    <w:rsid w:val="00786D0F"/>
    <w:rPr>
      <w:rFonts w:eastAsiaTheme="minorEastAsia"/>
      <w:sz w:val="24"/>
    </w:rPr>
  </w:style>
  <w:style w:type="character" w:customStyle="1" w:styleId="wordhighlighted">
    <w:name w:val="wordhighlighted"/>
    <w:basedOn w:val="Carpredefinitoparagrafo"/>
    <w:rsid w:val="00786D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66E68-BD37-4D98-92D5-DB76DD82F9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6C269FD-8532-4557-ADEB-EB9F2AD56FBD}">
  <ds:schemaRefs>
    <ds:schemaRef ds:uri="http://schemas.microsoft.com/sharepoint/v3/contenttype/forms"/>
  </ds:schemaRefs>
</ds:datastoreItem>
</file>

<file path=customXml/itemProps3.xml><?xml version="1.0" encoding="utf-8"?>
<ds:datastoreItem xmlns:ds="http://schemas.openxmlformats.org/officeDocument/2006/customXml" ds:itemID="{05D1C5D2-4AD3-4E77-9DBF-A3C4558A887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F1B90-A0A7-4AE2-9DF9-582B0D2DA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6789</Words>
  <Characters>38698</Characters>
  <Application>Microsoft Office Word</Application>
  <DocSecurity>0</DocSecurity>
  <Lines>322</Lines>
  <Paragraphs>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2016-01-20T11:59:00Z</dcterms:created>
  <dcterms:modified xsi:type="dcterms:W3CDTF">2016-01-20T11:59:00Z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34376/13</vt:lpwstr>
  </property>
  <property fmtid="{D5CDD505-2E9C-101B-9397-08002B2CF9AE}" pid="4" name="CASEID">
    <vt:lpwstr>884982</vt:lpwstr>
  </property>
  <property fmtid="{D5CDD505-2E9C-101B-9397-08002B2CF9AE}" pid="5" name="OrigTemp">
    <vt:lpwstr>French\Documents\DF01 Decisions et Rapports\Reports automation IT ONLY\Décision.dotx</vt:lpwstr>
  </property>
  <property fmtid="{D5CDD505-2E9C-101B-9397-08002B2CF9AE}" pid="6" name="ContentTypeId">
    <vt:lpwstr>0x010100558EB02BDB9E204AB350EDD385B68E10</vt:lpwstr>
  </property>
</Properties>
</file>